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98" w:rsidRPr="004B3EF7" w:rsidRDefault="00C22FFD" w:rsidP="00E21498">
      <w:pPr>
        <w:tabs>
          <w:tab w:val="left" w:pos="709"/>
        </w:tabs>
        <w:spacing w:after="0"/>
        <w:rPr>
          <w:b/>
          <w:sz w:val="26"/>
          <w:szCs w:val="26"/>
        </w:rPr>
      </w:pPr>
      <w:r w:rsidRPr="004B3EF7">
        <w:rPr>
          <w:b/>
          <w:sz w:val="26"/>
          <w:szCs w:val="26"/>
        </w:rPr>
        <w:t>DANH MỤC</w:t>
      </w:r>
      <w:r w:rsidR="004D4747" w:rsidRPr="004B3EF7">
        <w:rPr>
          <w:b/>
          <w:sz w:val="26"/>
          <w:szCs w:val="26"/>
        </w:rPr>
        <w:t xml:space="preserve"> THỦ TỤC HÀNH CHÍNH </w:t>
      </w:r>
    </w:p>
    <w:p w:rsidR="004D4747" w:rsidRPr="004B3EF7" w:rsidRDefault="00C22FFD" w:rsidP="00E21498">
      <w:pPr>
        <w:tabs>
          <w:tab w:val="left" w:pos="709"/>
        </w:tabs>
        <w:spacing w:after="0"/>
        <w:rPr>
          <w:b/>
          <w:sz w:val="26"/>
          <w:szCs w:val="26"/>
        </w:rPr>
      </w:pPr>
      <w:r w:rsidRPr="004B3EF7">
        <w:rPr>
          <w:b/>
          <w:sz w:val="26"/>
          <w:szCs w:val="26"/>
        </w:rPr>
        <w:t xml:space="preserve">LĨNH VỰC </w:t>
      </w:r>
      <w:r w:rsidR="00136EA4" w:rsidRPr="004B3EF7">
        <w:rPr>
          <w:b/>
          <w:sz w:val="26"/>
          <w:szCs w:val="26"/>
        </w:rPr>
        <w:t>Y TẾ</w:t>
      </w:r>
    </w:p>
    <w:p w:rsidR="00BE5028" w:rsidRPr="004B3EF7" w:rsidRDefault="00BE5028" w:rsidP="00E21498">
      <w:pPr>
        <w:tabs>
          <w:tab w:val="left" w:pos="709"/>
        </w:tabs>
        <w:spacing w:after="0"/>
        <w:rPr>
          <w:b/>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5"/>
        <w:gridCol w:w="1275"/>
      </w:tblGrid>
      <w:tr w:rsidR="00E21498" w:rsidRPr="004B3EF7" w:rsidTr="00A972B4">
        <w:trPr>
          <w:trHeight w:val="671"/>
        </w:trPr>
        <w:tc>
          <w:tcPr>
            <w:tcW w:w="851" w:type="dxa"/>
            <w:vAlign w:val="center"/>
          </w:tcPr>
          <w:p w:rsidR="00E21498" w:rsidRPr="004B3EF7" w:rsidRDefault="00E21498"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b/>
                <w:sz w:val="26"/>
                <w:szCs w:val="26"/>
              </w:rPr>
            </w:pPr>
            <w:r w:rsidRPr="004B3EF7">
              <w:rPr>
                <w:b/>
                <w:sz w:val="26"/>
                <w:szCs w:val="26"/>
              </w:rPr>
              <w:t>STT</w:t>
            </w:r>
          </w:p>
        </w:tc>
        <w:tc>
          <w:tcPr>
            <w:tcW w:w="7655" w:type="dxa"/>
            <w:vAlign w:val="center"/>
          </w:tcPr>
          <w:p w:rsidR="00E21498" w:rsidRPr="004B3EF7" w:rsidRDefault="00E21498"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b/>
                <w:sz w:val="26"/>
                <w:szCs w:val="26"/>
              </w:rPr>
            </w:pPr>
            <w:r w:rsidRPr="004B3EF7">
              <w:rPr>
                <w:b/>
                <w:sz w:val="26"/>
                <w:szCs w:val="26"/>
              </w:rPr>
              <w:t>TÊN THỦ TỤC HÀNH CHÍNH</w:t>
            </w:r>
          </w:p>
        </w:tc>
        <w:tc>
          <w:tcPr>
            <w:tcW w:w="1275" w:type="dxa"/>
          </w:tcPr>
          <w:p w:rsidR="00E21498" w:rsidRPr="004B3EF7" w:rsidRDefault="00E21498"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b/>
                <w:sz w:val="26"/>
                <w:szCs w:val="26"/>
              </w:rPr>
            </w:pPr>
            <w:r w:rsidRPr="004B3EF7">
              <w:rPr>
                <w:b/>
                <w:sz w:val="26"/>
                <w:szCs w:val="26"/>
              </w:rPr>
              <w:t>TRANG</w:t>
            </w:r>
          </w:p>
        </w:tc>
      </w:tr>
      <w:tr w:rsidR="00C507EC" w:rsidRPr="004B3EF7" w:rsidTr="003E130A">
        <w:trPr>
          <w:trHeight w:val="671"/>
        </w:trPr>
        <w:tc>
          <w:tcPr>
            <w:tcW w:w="9781" w:type="dxa"/>
            <w:gridSpan w:val="3"/>
            <w:vAlign w:val="center"/>
          </w:tcPr>
          <w:p w:rsidR="00C507EC" w:rsidRPr="004B3EF7" w:rsidRDefault="00C507EC" w:rsidP="00C507EC">
            <w:pPr>
              <w:tabs>
                <w:tab w:val="left" w:pos="720"/>
              </w:tabs>
              <w:spacing w:line="340" w:lineRule="exact"/>
              <w:rPr>
                <w:b/>
                <w:bCs/>
                <w:sz w:val="26"/>
                <w:szCs w:val="26"/>
              </w:rPr>
            </w:pPr>
            <w:r w:rsidRPr="004B3EF7">
              <w:rPr>
                <w:b/>
                <w:bCs/>
                <w:sz w:val="26"/>
                <w:szCs w:val="26"/>
              </w:rPr>
              <w:t>Theo Quyết đị</w:t>
            </w:r>
            <w:r w:rsidR="00861C79" w:rsidRPr="004B3EF7">
              <w:rPr>
                <w:b/>
                <w:bCs/>
                <w:sz w:val="26"/>
                <w:szCs w:val="26"/>
              </w:rPr>
              <w:t xml:space="preserve">nh </w:t>
            </w:r>
            <w:r w:rsidR="00301E7C" w:rsidRPr="004B3EF7">
              <w:rPr>
                <w:b/>
                <w:bCs/>
                <w:sz w:val="26"/>
                <w:szCs w:val="26"/>
              </w:rPr>
              <w:t>4226/QĐ-UBND ngày 8/8/2019</w:t>
            </w:r>
          </w:p>
          <w:p w:rsidR="00C507EC" w:rsidRPr="004B3EF7" w:rsidRDefault="00C507EC"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b/>
                <w:sz w:val="26"/>
                <w:szCs w:val="26"/>
              </w:rPr>
            </w:pPr>
            <w:r w:rsidRPr="004B3EF7">
              <w:rPr>
                <w:b/>
                <w:bCs/>
                <w:sz w:val="26"/>
                <w:szCs w:val="26"/>
              </w:rPr>
              <w:t xml:space="preserve"> của UBND thành phố Hà Nội</w:t>
            </w:r>
            <w:r w:rsidRPr="004B3EF7">
              <w:rPr>
                <w:bCs/>
                <w:sz w:val="26"/>
                <w:szCs w:val="26"/>
              </w:rPr>
              <w:t xml:space="preserve"> </w:t>
            </w:r>
          </w:p>
        </w:tc>
      </w:tr>
      <w:tr w:rsidR="00F42384" w:rsidRPr="004B3EF7" w:rsidTr="00E432A5">
        <w:trPr>
          <w:trHeight w:val="1250"/>
        </w:trPr>
        <w:tc>
          <w:tcPr>
            <w:tcW w:w="851" w:type="dxa"/>
            <w:vAlign w:val="center"/>
          </w:tcPr>
          <w:p w:rsidR="00F42384" w:rsidRPr="004B3EF7" w:rsidRDefault="00F42384"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sz w:val="26"/>
                <w:szCs w:val="26"/>
              </w:rPr>
            </w:pPr>
            <w:r w:rsidRPr="004B3EF7">
              <w:rPr>
                <w:sz w:val="26"/>
                <w:szCs w:val="26"/>
              </w:rPr>
              <w:t>1</w:t>
            </w:r>
          </w:p>
        </w:tc>
        <w:tc>
          <w:tcPr>
            <w:tcW w:w="7655" w:type="dxa"/>
            <w:vAlign w:val="center"/>
          </w:tcPr>
          <w:p w:rsidR="00F42384" w:rsidRPr="004B3EF7" w:rsidRDefault="00136EA4" w:rsidP="00BE1D66">
            <w:pPr>
              <w:autoSpaceDE w:val="0"/>
              <w:autoSpaceDN w:val="0"/>
              <w:adjustRightInd w:val="0"/>
              <w:spacing w:before="0" w:after="0"/>
              <w:jc w:val="both"/>
              <w:rPr>
                <w:b/>
                <w:bCs/>
                <w:sz w:val="26"/>
                <w:szCs w:val="26"/>
              </w:rPr>
            </w:pPr>
            <w:r w:rsidRPr="004B3EF7">
              <w:rPr>
                <w:rFonts w:eastAsiaTheme="minorHAnsi"/>
                <w:b/>
                <w:bCs/>
                <w:sz w:val="26"/>
                <w:szCs w:val="26"/>
              </w:rPr>
              <w:t>Th</w:t>
            </w:r>
            <w:r w:rsidRPr="004B3EF7">
              <w:rPr>
                <w:rFonts w:eastAsia="TimesNewRomanPS-BoldMT"/>
                <w:b/>
                <w:bCs/>
                <w:sz w:val="26"/>
                <w:szCs w:val="26"/>
              </w:rPr>
              <w:t xml:space="preserve">ủ </w:t>
            </w:r>
            <w:r w:rsidRPr="004B3EF7">
              <w:rPr>
                <w:rFonts w:eastAsiaTheme="minorHAnsi"/>
                <w:b/>
                <w:bCs/>
                <w:sz w:val="26"/>
                <w:szCs w:val="26"/>
              </w:rPr>
              <w:t>t</w:t>
            </w:r>
            <w:r w:rsidRPr="004B3EF7">
              <w:rPr>
                <w:rFonts w:eastAsia="TimesNewRomanPS-BoldMT"/>
                <w:b/>
                <w:bCs/>
                <w:sz w:val="26"/>
                <w:szCs w:val="26"/>
              </w:rPr>
              <w:t>ụ</w:t>
            </w:r>
            <w:r w:rsidRPr="004B3EF7">
              <w:rPr>
                <w:rFonts w:eastAsiaTheme="minorHAnsi"/>
                <w:b/>
                <w:bCs/>
                <w:sz w:val="26"/>
                <w:szCs w:val="26"/>
              </w:rPr>
              <w:t>c: C</w:t>
            </w:r>
            <w:r w:rsidRPr="004B3EF7">
              <w:rPr>
                <w:rFonts w:eastAsia="TimesNewRomanPS-BoldMT"/>
                <w:b/>
                <w:bCs/>
                <w:sz w:val="26"/>
                <w:szCs w:val="26"/>
              </w:rPr>
              <w:t>ấ</w:t>
            </w:r>
            <w:r w:rsidRPr="004B3EF7">
              <w:rPr>
                <w:rFonts w:eastAsiaTheme="minorHAnsi"/>
                <w:b/>
                <w:bCs/>
                <w:sz w:val="26"/>
                <w:szCs w:val="26"/>
              </w:rPr>
              <w:t>p gi</w:t>
            </w:r>
            <w:r w:rsidRPr="004B3EF7">
              <w:rPr>
                <w:rFonts w:eastAsia="TimesNewRomanPS-BoldMT"/>
                <w:b/>
                <w:bCs/>
                <w:sz w:val="26"/>
                <w:szCs w:val="26"/>
              </w:rPr>
              <w:t>ấ</w:t>
            </w:r>
            <w:r w:rsidRPr="004B3EF7">
              <w:rPr>
                <w:rFonts w:eastAsiaTheme="minorHAnsi"/>
                <w:b/>
                <w:bCs/>
                <w:sz w:val="26"/>
                <w:szCs w:val="26"/>
              </w:rPr>
              <w:t>y ch</w:t>
            </w:r>
            <w:r w:rsidRPr="004B3EF7">
              <w:rPr>
                <w:rFonts w:eastAsia="TimesNewRomanPS-BoldMT"/>
                <w:b/>
                <w:bCs/>
                <w:sz w:val="26"/>
                <w:szCs w:val="26"/>
              </w:rPr>
              <w:t>ứ</w:t>
            </w:r>
            <w:r w:rsidRPr="004B3EF7">
              <w:rPr>
                <w:rFonts w:eastAsiaTheme="minorHAnsi"/>
                <w:b/>
                <w:bCs/>
                <w:sz w:val="26"/>
                <w:szCs w:val="26"/>
              </w:rPr>
              <w:t>ng nh</w:t>
            </w:r>
            <w:r w:rsidRPr="004B3EF7">
              <w:rPr>
                <w:rFonts w:eastAsia="TimesNewRomanPS-BoldMT"/>
                <w:b/>
                <w:bCs/>
                <w:sz w:val="26"/>
                <w:szCs w:val="26"/>
              </w:rPr>
              <w:t xml:space="preserve">ận </w:t>
            </w:r>
            <w:r w:rsidR="00BE1D66" w:rsidRPr="004B3EF7">
              <w:rPr>
                <w:rFonts w:eastAsia="TimesNewRomanPS-BoldMT"/>
                <w:b/>
                <w:bCs/>
                <w:sz w:val="26"/>
                <w:szCs w:val="26"/>
              </w:rPr>
              <w:t>cơ sở đủ điều kiện an toàn thực phẩm đối với cơ sở dịch vụ ăn uống</w:t>
            </w:r>
          </w:p>
        </w:tc>
        <w:tc>
          <w:tcPr>
            <w:tcW w:w="1275" w:type="dxa"/>
            <w:vAlign w:val="center"/>
          </w:tcPr>
          <w:p w:rsidR="00BE1D66" w:rsidRPr="004B3EF7" w:rsidRDefault="00301E7C" w:rsidP="00B51970">
            <w:pPr>
              <w:tabs>
                <w:tab w:val="left" w:pos="720"/>
              </w:tabs>
              <w:spacing w:line="340" w:lineRule="exact"/>
              <w:rPr>
                <w:bCs/>
                <w:sz w:val="26"/>
                <w:szCs w:val="26"/>
              </w:rPr>
            </w:pPr>
            <w:r w:rsidRPr="004B3EF7">
              <w:rPr>
                <w:bCs/>
                <w:sz w:val="26"/>
                <w:szCs w:val="26"/>
              </w:rPr>
              <w:t>2</w:t>
            </w:r>
          </w:p>
        </w:tc>
      </w:tr>
      <w:tr w:rsidR="00272567" w:rsidRPr="004B3EF7" w:rsidTr="006A360D">
        <w:trPr>
          <w:trHeight w:val="1250"/>
        </w:trPr>
        <w:tc>
          <w:tcPr>
            <w:tcW w:w="9781" w:type="dxa"/>
            <w:gridSpan w:val="3"/>
            <w:vAlign w:val="center"/>
          </w:tcPr>
          <w:p w:rsidR="00272567" w:rsidRPr="004B3EF7" w:rsidRDefault="00272567" w:rsidP="00B51970">
            <w:pPr>
              <w:tabs>
                <w:tab w:val="left" w:pos="720"/>
              </w:tabs>
              <w:spacing w:line="340" w:lineRule="exact"/>
              <w:rPr>
                <w:b/>
                <w:bCs/>
                <w:sz w:val="26"/>
                <w:szCs w:val="26"/>
              </w:rPr>
            </w:pPr>
            <w:r w:rsidRPr="004B3EF7">
              <w:rPr>
                <w:b/>
                <w:bCs/>
                <w:sz w:val="26"/>
                <w:szCs w:val="26"/>
              </w:rPr>
              <w:t>Theo quyết định 2376/QĐ-SYT ngày 30/12/2022 của Sở Y tế</w:t>
            </w:r>
          </w:p>
        </w:tc>
      </w:tr>
      <w:tr w:rsidR="00272567" w:rsidRPr="004B3EF7" w:rsidTr="00272567">
        <w:trPr>
          <w:trHeight w:val="930"/>
        </w:trPr>
        <w:tc>
          <w:tcPr>
            <w:tcW w:w="851" w:type="dxa"/>
            <w:vAlign w:val="center"/>
          </w:tcPr>
          <w:p w:rsidR="00272567" w:rsidRPr="004B3EF7" w:rsidRDefault="00272567"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sz w:val="26"/>
                <w:szCs w:val="26"/>
              </w:rPr>
            </w:pPr>
            <w:r w:rsidRPr="004B3EF7">
              <w:rPr>
                <w:sz w:val="26"/>
                <w:szCs w:val="26"/>
              </w:rPr>
              <w:t>1</w:t>
            </w:r>
          </w:p>
        </w:tc>
        <w:tc>
          <w:tcPr>
            <w:tcW w:w="7655" w:type="dxa"/>
            <w:vAlign w:val="center"/>
          </w:tcPr>
          <w:p w:rsidR="00272567" w:rsidRPr="004B3EF7" w:rsidRDefault="00272567" w:rsidP="00BE1D66">
            <w:pPr>
              <w:autoSpaceDE w:val="0"/>
              <w:autoSpaceDN w:val="0"/>
              <w:adjustRightInd w:val="0"/>
              <w:spacing w:before="0" w:after="0"/>
              <w:jc w:val="both"/>
              <w:rPr>
                <w:rFonts w:eastAsiaTheme="minorHAnsi"/>
                <w:bCs/>
                <w:sz w:val="26"/>
                <w:szCs w:val="26"/>
              </w:rPr>
            </w:pPr>
            <w:r w:rsidRPr="004B3EF7">
              <w:rPr>
                <w:rFonts w:eastAsiaTheme="minorHAnsi"/>
                <w:bCs/>
                <w:sz w:val="26"/>
                <w:szCs w:val="26"/>
              </w:rPr>
              <w:t>Cho phép cá nhân trong nước, nước ngoài tổ chức khám bệnh, chữa bệnh nhân đạo tại cơ sở khám bệnh, chữa bệnh trược thuộc Sở Y tế</w:t>
            </w:r>
          </w:p>
        </w:tc>
        <w:tc>
          <w:tcPr>
            <w:tcW w:w="1275" w:type="dxa"/>
            <w:vAlign w:val="center"/>
          </w:tcPr>
          <w:p w:rsidR="00272567" w:rsidRPr="004B3EF7" w:rsidRDefault="00272567" w:rsidP="00B51970">
            <w:pPr>
              <w:tabs>
                <w:tab w:val="left" w:pos="720"/>
              </w:tabs>
              <w:spacing w:line="340" w:lineRule="exact"/>
              <w:rPr>
                <w:bCs/>
                <w:sz w:val="26"/>
                <w:szCs w:val="26"/>
              </w:rPr>
            </w:pPr>
          </w:p>
        </w:tc>
      </w:tr>
      <w:tr w:rsidR="00272567" w:rsidRPr="004B3EF7" w:rsidTr="00272567">
        <w:trPr>
          <w:trHeight w:val="988"/>
        </w:trPr>
        <w:tc>
          <w:tcPr>
            <w:tcW w:w="851" w:type="dxa"/>
            <w:vAlign w:val="center"/>
          </w:tcPr>
          <w:p w:rsidR="00272567" w:rsidRPr="004B3EF7" w:rsidRDefault="00272567"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sz w:val="26"/>
                <w:szCs w:val="26"/>
              </w:rPr>
            </w:pPr>
            <w:r w:rsidRPr="004B3EF7">
              <w:rPr>
                <w:sz w:val="26"/>
                <w:szCs w:val="26"/>
              </w:rPr>
              <w:t>2</w:t>
            </w:r>
          </w:p>
        </w:tc>
        <w:tc>
          <w:tcPr>
            <w:tcW w:w="7655" w:type="dxa"/>
            <w:vAlign w:val="center"/>
          </w:tcPr>
          <w:p w:rsidR="00272567" w:rsidRPr="004B3EF7" w:rsidRDefault="00272567" w:rsidP="00BE1D66">
            <w:pPr>
              <w:autoSpaceDE w:val="0"/>
              <w:autoSpaceDN w:val="0"/>
              <w:adjustRightInd w:val="0"/>
              <w:spacing w:before="0" w:after="0"/>
              <w:jc w:val="both"/>
              <w:rPr>
                <w:rFonts w:eastAsiaTheme="minorHAnsi"/>
                <w:bCs/>
                <w:sz w:val="26"/>
                <w:szCs w:val="26"/>
              </w:rPr>
            </w:pPr>
            <w:r w:rsidRPr="004B3EF7">
              <w:rPr>
                <w:rFonts w:eastAsiaTheme="minorHAnsi"/>
                <w:bCs/>
                <w:sz w:val="26"/>
                <w:szCs w:val="26"/>
              </w:rPr>
              <w:t>Cho phép Đoàn khám bệnh, chữa bệnh trong nước tổ chức khám bệnh, chữa bệnh nhân đạo tại cơ sở khám bệnh, chữa bệnh trực thuộc Sở Y tế</w:t>
            </w:r>
          </w:p>
        </w:tc>
        <w:tc>
          <w:tcPr>
            <w:tcW w:w="1275" w:type="dxa"/>
            <w:vAlign w:val="center"/>
          </w:tcPr>
          <w:p w:rsidR="00272567" w:rsidRPr="004B3EF7" w:rsidRDefault="00272567" w:rsidP="00B51970">
            <w:pPr>
              <w:tabs>
                <w:tab w:val="left" w:pos="720"/>
              </w:tabs>
              <w:spacing w:line="340" w:lineRule="exact"/>
              <w:rPr>
                <w:bCs/>
                <w:sz w:val="26"/>
                <w:szCs w:val="26"/>
              </w:rPr>
            </w:pPr>
          </w:p>
        </w:tc>
      </w:tr>
      <w:tr w:rsidR="00272567" w:rsidRPr="004B3EF7" w:rsidTr="00272567">
        <w:trPr>
          <w:trHeight w:val="1006"/>
        </w:trPr>
        <w:tc>
          <w:tcPr>
            <w:tcW w:w="851" w:type="dxa"/>
            <w:vAlign w:val="center"/>
          </w:tcPr>
          <w:p w:rsidR="00272567" w:rsidRPr="004B3EF7" w:rsidRDefault="00272567"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sz w:val="26"/>
                <w:szCs w:val="26"/>
              </w:rPr>
            </w:pPr>
            <w:r w:rsidRPr="004B3EF7">
              <w:rPr>
                <w:sz w:val="26"/>
                <w:szCs w:val="26"/>
              </w:rPr>
              <w:t>3</w:t>
            </w:r>
          </w:p>
        </w:tc>
        <w:tc>
          <w:tcPr>
            <w:tcW w:w="7655" w:type="dxa"/>
            <w:vAlign w:val="center"/>
          </w:tcPr>
          <w:p w:rsidR="00272567" w:rsidRPr="004B3EF7" w:rsidRDefault="00272567" w:rsidP="00BE1D66">
            <w:pPr>
              <w:autoSpaceDE w:val="0"/>
              <w:autoSpaceDN w:val="0"/>
              <w:adjustRightInd w:val="0"/>
              <w:spacing w:before="0" w:after="0"/>
              <w:jc w:val="both"/>
              <w:rPr>
                <w:rFonts w:eastAsiaTheme="minorHAnsi"/>
                <w:bCs/>
                <w:sz w:val="26"/>
                <w:szCs w:val="26"/>
              </w:rPr>
            </w:pPr>
            <w:r w:rsidRPr="004B3EF7">
              <w:rPr>
                <w:rFonts w:eastAsiaTheme="minorHAnsi"/>
                <w:bCs/>
                <w:sz w:val="26"/>
                <w:szCs w:val="26"/>
              </w:rPr>
              <w:t>Cho phép Đoàn khám bệnh, chữa bệnh nước ngoài tổ chức khám bệnh, chữa bệnh nhân đạo tại cơ sở khám bệnh, chữa bệnh trực thuộc Sở Y tế</w:t>
            </w:r>
          </w:p>
        </w:tc>
        <w:tc>
          <w:tcPr>
            <w:tcW w:w="1275" w:type="dxa"/>
            <w:vAlign w:val="center"/>
          </w:tcPr>
          <w:p w:rsidR="00272567" w:rsidRPr="004B3EF7" w:rsidRDefault="00272567" w:rsidP="00B51970">
            <w:pPr>
              <w:tabs>
                <w:tab w:val="left" w:pos="720"/>
              </w:tabs>
              <w:spacing w:line="340" w:lineRule="exact"/>
              <w:rPr>
                <w:bCs/>
                <w:sz w:val="26"/>
                <w:szCs w:val="26"/>
              </w:rPr>
            </w:pPr>
          </w:p>
        </w:tc>
      </w:tr>
      <w:tr w:rsidR="00272567" w:rsidRPr="004B3EF7" w:rsidTr="00272567">
        <w:trPr>
          <w:trHeight w:val="1023"/>
        </w:trPr>
        <w:tc>
          <w:tcPr>
            <w:tcW w:w="851" w:type="dxa"/>
            <w:vAlign w:val="center"/>
          </w:tcPr>
          <w:p w:rsidR="00272567" w:rsidRPr="004B3EF7" w:rsidRDefault="00272567"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sz w:val="26"/>
                <w:szCs w:val="26"/>
              </w:rPr>
            </w:pPr>
            <w:r w:rsidRPr="004B3EF7">
              <w:rPr>
                <w:sz w:val="26"/>
                <w:szCs w:val="26"/>
              </w:rPr>
              <w:t>4</w:t>
            </w:r>
          </w:p>
        </w:tc>
        <w:tc>
          <w:tcPr>
            <w:tcW w:w="7655" w:type="dxa"/>
            <w:vAlign w:val="center"/>
          </w:tcPr>
          <w:p w:rsidR="00272567" w:rsidRPr="004B3EF7" w:rsidRDefault="00272567" w:rsidP="00BE1D66">
            <w:pPr>
              <w:autoSpaceDE w:val="0"/>
              <w:autoSpaceDN w:val="0"/>
              <w:adjustRightInd w:val="0"/>
              <w:spacing w:before="0" w:after="0"/>
              <w:jc w:val="both"/>
              <w:rPr>
                <w:rFonts w:eastAsiaTheme="minorHAnsi"/>
                <w:bCs/>
                <w:sz w:val="26"/>
                <w:szCs w:val="26"/>
              </w:rPr>
            </w:pPr>
            <w:r w:rsidRPr="004B3EF7">
              <w:rPr>
                <w:rFonts w:eastAsiaTheme="minorHAnsi"/>
                <w:bCs/>
                <w:sz w:val="26"/>
                <w:szCs w:val="26"/>
              </w:rPr>
              <w:t>Cho phép Đội khám bệnh, chữa bệnh chữ thập đỏ lưu động tổ chức khám bệnh, chữa bệnh nhân đạo tại cơ sở khám bệnh, chữa bệnh trực thuộc Sở Y tế</w:t>
            </w:r>
          </w:p>
        </w:tc>
        <w:tc>
          <w:tcPr>
            <w:tcW w:w="1275" w:type="dxa"/>
            <w:vAlign w:val="center"/>
          </w:tcPr>
          <w:p w:rsidR="00272567" w:rsidRPr="004B3EF7" w:rsidRDefault="00272567" w:rsidP="00B51970">
            <w:pPr>
              <w:tabs>
                <w:tab w:val="left" w:pos="720"/>
              </w:tabs>
              <w:spacing w:line="340" w:lineRule="exact"/>
              <w:rPr>
                <w:bCs/>
                <w:sz w:val="26"/>
                <w:szCs w:val="26"/>
              </w:rPr>
            </w:pPr>
          </w:p>
        </w:tc>
      </w:tr>
      <w:tr w:rsidR="00272567" w:rsidRPr="004B3EF7" w:rsidTr="00272567">
        <w:trPr>
          <w:trHeight w:val="1028"/>
        </w:trPr>
        <w:tc>
          <w:tcPr>
            <w:tcW w:w="851" w:type="dxa"/>
            <w:vAlign w:val="center"/>
          </w:tcPr>
          <w:p w:rsidR="00272567" w:rsidRPr="004B3EF7" w:rsidRDefault="00272567"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sz w:val="26"/>
                <w:szCs w:val="26"/>
              </w:rPr>
            </w:pPr>
            <w:r w:rsidRPr="004B3EF7">
              <w:rPr>
                <w:sz w:val="26"/>
                <w:szCs w:val="26"/>
              </w:rPr>
              <w:t>5</w:t>
            </w:r>
          </w:p>
        </w:tc>
        <w:tc>
          <w:tcPr>
            <w:tcW w:w="7655" w:type="dxa"/>
            <w:vAlign w:val="center"/>
          </w:tcPr>
          <w:p w:rsidR="00272567" w:rsidRPr="004B3EF7" w:rsidRDefault="00272567" w:rsidP="00BE1D66">
            <w:pPr>
              <w:autoSpaceDE w:val="0"/>
              <w:autoSpaceDN w:val="0"/>
              <w:adjustRightInd w:val="0"/>
              <w:spacing w:before="0" w:after="0"/>
              <w:jc w:val="both"/>
              <w:rPr>
                <w:rFonts w:eastAsiaTheme="minorHAnsi"/>
                <w:bCs/>
                <w:sz w:val="26"/>
                <w:szCs w:val="26"/>
              </w:rPr>
            </w:pPr>
            <w:r w:rsidRPr="004B3EF7">
              <w:rPr>
                <w:rFonts w:eastAsiaTheme="minorHAnsi"/>
                <w:bCs/>
                <w:sz w:val="26"/>
                <w:szCs w:val="26"/>
              </w:rPr>
              <w:t>Công bố đáp ứng tiêu chuẩn chế biến, bào chế thuốc cổ truyền đối với cơ sở khám bệnh, chữa bệnh bằng y học cổ truyền trực thuộc quản lý của Sở Y tế</w:t>
            </w:r>
          </w:p>
        </w:tc>
        <w:tc>
          <w:tcPr>
            <w:tcW w:w="1275" w:type="dxa"/>
            <w:vAlign w:val="center"/>
          </w:tcPr>
          <w:p w:rsidR="00272567" w:rsidRPr="004B3EF7" w:rsidRDefault="00272567" w:rsidP="00B51970">
            <w:pPr>
              <w:tabs>
                <w:tab w:val="left" w:pos="720"/>
              </w:tabs>
              <w:spacing w:line="340" w:lineRule="exact"/>
              <w:rPr>
                <w:bCs/>
                <w:sz w:val="26"/>
                <w:szCs w:val="26"/>
              </w:rPr>
            </w:pPr>
          </w:p>
        </w:tc>
      </w:tr>
      <w:tr w:rsidR="00272567" w:rsidRPr="004B3EF7" w:rsidTr="00272567">
        <w:trPr>
          <w:trHeight w:val="549"/>
        </w:trPr>
        <w:tc>
          <w:tcPr>
            <w:tcW w:w="851" w:type="dxa"/>
            <w:vAlign w:val="center"/>
          </w:tcPr>
          <w:p w:rsidR="00272567" w:rsidRPr="004B3EF7" w:rsidRDefault="00272567"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sz w:val="26"/>
                <w:szCs w:val="26"/>
              </w:rPr>
            </w:pPr>
            <w:r w:rsidRPr="004B3EF7">
              <w:rPr>
                <w:sz w:val="26"/>
                <w:szCs w:val="26"/>
              </w:rPr>
              <w:t>6</w:t>
            </w:r>
          </w:p>
        </w:tc>
        <w:tc>
          <w:tcPr>
            <w:tcW w:w="7655" w:type="dxa"/>
            <w:vAlign w:val="center"/>
          </w:tcPr>
          <w:p w:rsidR="00272567" w:rsidRPr="004B3EF7" w:rsidRDefault="00272567" w:rsidP="00BE1D66">
            <w:pPr>
              <w:autoSpaceDE w:val="0"/>
              <w:autoSpaceDN w:val="0"/>
              <w:adjustRightInd w:val="0"/>
              <w:spacing w:before="0" w:after="0"/>
              <w:jc w:val="both"/>
              <w:rPr>
                <w:rFonts w:eastAsiaTheme="minorHAnsi"/>
                <w:bCs/>
                <w:sz w:val="26"/>
                <w:szCs w:val="26"/>
              </w:rPr>
            </w:pPr>
            <w:r w:rsidRPr="004B3EF7">
              <w:rPr>
                <w:rFonts w:eastAsiaTheme="minorHAnsi"/>
                <w:bCs/>
                <w:sz w:val="26"/>
                <w:szCs w:val="26"/>
              </w:rPr>
              <w:t>Kê khai lại giá thuốc sản xuất trong nước</w:t>
            </w:r>
          </w:p>
        </w:tc>
        <w:tc>
          <w:tcPr>
            <w:tcW w:w="1275" w:type="dxa"/>
            <w:vAlign w:val="center"/>
          </w:tcPr>
          <w:p w:rsidR="00272567" w:rsidRPr="004B3EF7" w:rsidRDefault="00272567" w:rsidP="00B51970">
            <w:pPr>
              <w:tabs>
                <w:tab w:val="left" w:pos="720"/>
              </w:tabs>
              <w:spacing w:line="340" w:lineRule="exact"/>
              <w:rPr>
                <w:bCs/>
                <w:sz w:val="26"/>
                <w:szCs w:val="26"/>
              </w:rPr>
            </w:pPr>
          </w:p>
        </w:tc>
      </w:tr>
      <w:tr w:rsidR="00272567" w:rsidRPr="004B3EF7" w:rsidTr="00272567">
        <w:trPr>
          <w:trHeight w:val="798"/>
        </w:trPr>
        <w:tc>
          <w:tcPr>
            <w:tcW w:w="851" w:type="dxa"/>
            <w:vAlign w:val="center"/>
          </w:tcPr>
          <w:p w:rsidR="00272567" w:rsidRPr="004B3EF7" w:rsidRDefault="00272567"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sz w:val="26"/>
                <w:szCs w:val="26"/>
              </w:rPr>
            </w:pPr>
            <w:r w:rsidRPr="004B3EF7">
              <w:rPr>
                <w:sz w:val="26"/>
                <w:szCs w:val="26"/>
              </w:rPr>
              <w:t>7</w:t>
            </w:r>
          </w:p>
        </w:tc>
        <w:tc>
          <w:tcPr>
            <w:tcW w:w="7655" w:type="dxa"/>
            <w:vAlign w:val="center"/>
          </w:tcPr>
          <w:p w:rsidR="00272567" w:rsidRPr="004B3EF7" w:rsidRDefault="00272567" w:rsidP="00BE1D66">
            <w:pPr>
              <w:autoSpaceDE w:val="0"/>
              <w:autoSpaceDN w:val="0"/>
              <w:adjustRightInd w:val="0"/>
              <w:spacing w:before="0" w:after="0"/>
              <w:jc w:val="both"/>
              <w:rPr>
                <w:rFonts w:eastAsiaTheme="minorHAnsi"/>
                <w:bCs/>
                <w:sz w:val="26"/>
                <w:szCs w:val="26"/>
              </w:rPr>
            </w:pPr>
            <w:r w:rsidRPr="004B3EF7">
              <w:rPr>
                <w:rFonts w:eastAsiaTheme="minorHAnsi"/>
                <w:bCs/>
                <w:sz w:val="26"/>
                <w:szCs w:val="26"/>
              </w:rPr>
              <w:t>Cấp Giấy chứng nhận lưu hành tự do (CFS) đối với mỹ phẩm sản xuất trong nước để xuất khẩu</w:t>
            </w:r>
          </w:p>
        </w:tc>
        <w:tc>
          <w:tcPr>
            <w:tcW w:w="1275" w:type="dxa"/>
            <w:vAlign w:val="center"/>
          </w:tcPr>
          <w:p w:rsidR="00272567" w:rsidRPr="004B3EF7" w:rsidRDefault="00272567" w:rsidP="00B51970">
            <w:pPr>
              <w:tabs>
                <w:tab w:val="left" w:pos="720"/>
              </w:tabs>
              <w:spacing w:line="340" w:lineRule="exact"/>
              <w:rPr>
                <w:bCs/>
                <w:sz w:val="26"/>
                <w:szCs w:val="26"/>
              </w:rPr>
            </w:pPr>
          </w:p>
        </w:tc>
      </w:tr>
      <w:tr w:rsidR="00272567" w:rsidRPr="004B3EF7" w:rsidTr="00272567">
        <w:trPr>
          <w:trHeight w:val="798"/>
        </w:trPr>
        <w:tc>
          <w:tcPr>
            <w:tcW w:w="851" w:type="dxa"/>
            <w:vAlign w:val="center"/>
          </w:tcPr>
          <w:p w:rsidR="00272567" w:rsidRPr="004B3EF7" w:rsidRDefault="00272567"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sz w:val="26"/>
                <w:szCs w:val="26"/>
              </w:rPr>
            </w:pPr>
            <w:r w:rsidRPr="004B3EF7">
              <w:rPr>
                <w:sz w:val="26"/>
                <w:szCs w:val="26"/>
              </w:rPr>
              <w:t>8</w:t>
            </w:r>
          </w:p>
        </w:tc>
        <w:tc>
          <w:tcPr>
            <w:tcW w:w="7655" w:type="dxa"/>
            <w:vAlign w:val="center"/>
          </w:tcPr>
          <w:p w:rsidR="00272567" w:rsidRPr="004B3EF7" w:rsidRDefault="00272567" w:rsidP="00BE1D66">
            <w:pPr>
              <w:autoSpaceDE w:val="0"/>
              <w:autoSpaceDN w:val="0"/>
              <w:adjustRightInd w:val="0"/>
              <w:spacing w:before="0" w:after="0"/>
              <w:jc w:val="both"/>
              <w:rPr>
                <w:rFonts w:eastAsiaTheme="minorHAnsi"/>
                <w:bCs/>
                <w:sz w:val="26"/>
                <w:szCs w:val="26"/>
              </w:rPr>
            </w:pPr>
            <w:r w:rsidRPr="004B3EF7">
              <w:rPr>
                <w:rFonts w:eastAsiaTheme="minorHAnsi"/>
                <w:bCs/>
                <w:sz w:val="26"/>
                <w:szCs w:val="26"/>
              </w:rPr>
              <w:t>Công bố cơ sở đủ điều kiện sản xuất chế phẩm diệt côn trùng, diệt khuẩn dùng trong lĩnh vực gia dụng và y tế</w:t>
            </w:r>
          </w:p>
        </w:tc>
        <w:tc>
          <w:tcPr>
            <w:tcW w:w="1275" w:type="dxa"/>
            <w:vAlign w:val="center"/>
          </w:tcPr>
          <w:p w:rsidR="00272567" w:rsidRPr="004B3EF7" w:rsidRDefault="00272567" w:rsidP="00B51970">
            <w:pPr>
              <w:tabs>
                <w:tab w:val="left" w:pos="720"/>
              </w:tabs>
              <w:spacing w:line="340" w:lineRule="exact"/>
              <w:rPr>
                <w:bCs/>
                <w:sz w:val="26"/>
                <w:szCs w:val="26"/>
              </w:rPr>
            </w:pPr>
          </w:p>
        </w:tc>
      </w:tr>
      <w:tr w:rsidR="00272567" w:rsidRPr="004B3EF7" w:rsidTr="00272567">
        <w:trPr>
          <w:trHeight w:val="798"/>
        </w:trPr>
        <w:tc>
          <w:tcPr>
            <w:tcW w:w="851" w:type="dxa"/>
            <w:vAlign w:val="center"/>
          </w:tcPr>
          <w:p w:rsidR="00272567" w:rsidRPr="004B3EF7" w:rsidRDefault="00272567" w:rsidP="00A972B4">
            <w:pPr>
              <w:tabs>
                <w:tab w:val="left" w:pos="284"/>
                <w:tab w:val="left" w:pos="567"/>
                <w:tab w:val="left" w:pos="720"/>
                <w:tab w:val="left" w:pos="851"/>
                <w:tab w:val="left" w:pos="1134"/>
                <w:tab w:val="left" w:pos="1418"/>
                <w:tab w:val="left" w:pos="1701"/>
                <w:tab w:val="left" w:pos="1985"/>
                <w:tab w:val="left" w:pos="2268"/>
                <w:tab w:val="left" w:pos="2552"/>
                <w:tab w:val="left" w:pos="2835"/>
              </w:tabs>
              <w:spacing w:line="340" w:lineRule="exact"/>
              <w:rPr>
                <w:sz w:val="26"/>
                <w:szCs w:val="26"/>
              </w:rPr>
            </w:pPr>
            <w:r w:rsidRPr="004B3EF7">
              <w:rPr>
                <w:sz w:val="26"/>
                <w:szCs w:val="26"/>
              </w:rPr>
              <w:t>9</w:t>
            </w:r>
          </w:p>
        </w:tc>
        <w:tc>
          <w:tcPr>
            <w:tcW w:w="7655" w:type="dxa"/>
            <w:vAlign w:val="center"/>
          </w:tcPr>
          <w:p w:rsidR="00272567" w:rsidRPr="004B3EF7" w:rsidRDefault="00272567" w:rsidP="00BE1D66">
            <w:pPr>
              <w:autoSpaceDE w:val="0"/>
              <w:autoSpaceDN w:val="0"/>
              <w:adjustRightInd w:val="0"/>
              <w:spacing w:before="0" w:after="0"/>
              <w:jc w:val="both"/>
              <w:rPr>
                <w:rFonts w:eastAsiaTheme="minorHAnsi"/>
                <w:bCs/>
                <w:sz w:val="26"/>
                <w:szCs w:val="26"/>
              </w:rPr>
            </w:pPr>
            <w:r w:rsidRPr="004B3EF7">
              <w:rPr>
                <w:rFonts w:eastAsiaTheme="minorHAnsi"/>
                <w:bCs/>
                <w:sz w:val="26"/>
                <w:szCs w:val="26"/>
              </w:rPr>
              <w:t>Công bố đủ điều kiện cung cấp dịch vụ diệt côn trùng, diệt khuẩn trong lĩnh vực gia dụng và y tế bằng chế phẩm</w:t>
            </w:r>
          </w:p>
        </w:tc>
        <w:tc>
          <w:tcPr>
            <w:tcW w:w="1275" w:type="dxa"/>
            <w:vAlign w:val="center"/>
          </w:tcPr>
          <w:p w:rsidR="00272567" w:rsidRPr="004B3EF7" w:rsidRDefault="00272567" w:rsidP="00B51970">
            <w:pPr>
              <w:tabs>
                <w:tab w:val="left" w:pos="720"/>
              </w:tabs>
              <w:spacing w:line="340" w:lineRule="exact"/>
              <w:rPr>
                <w:bCs/>
                <w:sz w:val="26"/>
                <w:szCs w:val="26"/>
              </w:rPr>
            </w:pPr>
          </w:p>
        </w:tc>
      </w:tr>
    </w:tbl>
    <w:p w:rsidR="000347BB" w:rsidRPr="004B3EF7" w:rsidRDefault="000347BB">
      <w:pPr>
        <w:spacing w:before="0" w:after="200" w:line="276" w:lineRule="auto"/>
        <w:jc w:val="left"/>
        <w:rPr>
          <w:sz w:val="26"/>
          <w:szCs w:val="26"/>
        </w:rPr>
      </w:pPr>
      <w:bookmarkStart w:id="0" w:name="_GoBack"/>
      <w:bookmarkEnd w:id="0"/>
    </w:p>
    <w:tbl>
      <w:tblPr>
        <w:tblW w:w="5360" w:type="pct"/>
        <w:shd w:val="clear" w:color="auto" w:fill="FFFFFF"/>
        <w:tblLayout w:type="fixed"/>
        <w:tblCellMar>
          <w:left w:w="0" w:type="dxa"/>
          <w:right w:w="0" w:type="dxa"/>
        </w:tblCellMar>
        <w:tblLook w:val="04A0" w:firstRow="1" w:lastRow="0" w:firstColumn="1" w:lastColumn="0" w:noHBand="0" w:noVBand="1"/>
      </w:tblPr>
      <w:tblGrid>
        <w:gridCol w:w="1523"/>
        <w:gridCol w:w="8524"/>
      </w:tblGrid>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lastRenderedPageBreak/>
              <w:t>Tên thủ tục</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0347BB">
            <w:pPr>
              <w:pStyle w:val="ListParagraph"/>
              <w:numPr>
                <w:ilvl w:val="0"/>
                <w:numId w:val="5"/>
              </w:numPr>
              <w:shd w:val="clear" w:color="auto" w:fill="FFFFFF"/>
              <w:spacing w:before="300" w:after="300" w:line="450" w:lineRule="atLeast"/>
              <w:jc w:val="both"/>
              <w:outlineLvl w:val="1"/>
              <w:rPr>
                <w:b/>
                <w:color w:val="1E2F41"/>
                <w:sz w:val="26"/>
                <w:szCs w:val="26"/>
              </w:rPr>
            </w:pPr>
            <w:r w:rsidRPr="004B3EF7">
              <w:rPr>
                <w:b/>
                <w:color w:val="1E2F41"/>
                <w:sz w:val="26"/>
                <w:szCs w:val="26"/>
              </w:rPr>
              <w:t>Cấp giấy chứng nhận cơ sở đủ điều kiện an toàn thực phẩm đối với cơ sở kinh doanh dịch vụ ăn uống</w:t>
            </w: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Lĩnh vực</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color w:val="000000"/>
                <w:sz w:val="26"/>
                <w:szCs w:val="26"/>
              </w:rPr>
              <w:t>An toàn vệ sinh thực phẩm</w:t>
            </w:r>
          </w:p>
        </w:tc>
      </w:tr>
      <w:tr w:rsidR="000347BB" w:rsidRPr="004B3EF7" w:rsidTr="00A951A9">
        <w:trPr>
          <w:trHeight w:val="541"/>
        </w:trPr>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Cơ quan thực hiện</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textAlignment w:val="baseline"/>
              <w:rPr>
                <w:color w:val="000000"/>
                <w:sz w:val="26"/>
                <w:szCs w:val="26"/>
              </w:rPr>
            </w:pPr>
            <w:r w:rsidRPr="004B3EF7">
              <w:rPr>
                <w:color w:val="000000"/>
                <w:sz w:val="26"/>
                <w:szCs w:val="26"/>
              </w:rPr>
              <w:t>UBND cấp huyện</w:t>
            </w:r>
          </w:p>
        </w:tc>
      </w:tr>
      <w:tr w:rsidR="000347BB" w:rsidRPr="004B3EF7" w:rsidTr="00A951A9">
        <w:trPr>
          <w:trHeight w:val="981"/>
        </w:trPr>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Cách thức thực hiện</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0347BB">
            <w:pPr>
              <w:spacing w:line="264" w:lineRule="auto"/>
              <w:jc w:val="both"/>
              <w:rPr>
                <w:color w:val="000000"/>
                <w:sz w:val="26"/>
                <w:szCs w:val="26"/>
              </w:rPr>
            </w:pPr>
            <w:r w:rsidRPr="004B3EF7">
              <w:rPr>
                <w:color w:val="000000"/>
                <w:sz w:val="26"/>
                <w:szCs w:val="26"/>
              </w:rPr>
              <w:t xml:space="preserve">- Gửi trực tiếp </w:t>
            </w:r>
            <w:r w:rsidRPr="004B3EF7">
              <w:rPr>
                <w:rStyle w:val="apple-converted-space"/>
                <w:color w:val="000000"/>
                <w:sz w:val="26"/>
                <w:szCs w:val="26"/>
                <w:shd w:val="clear" w:color="auto" w:fill="FCFCFC"/>
              </w:rPr>
              <w:t xml:space="preserve">tại </w:t>
            </w:r>
            <w:r w:rsidRPr="004B3EF7">
              <w:rPr>
                <w:color w:val="000000"/>
                <w:sz w:val="26"/>
                <w:szCs w:val="26"/>
                <w:shd w:val="clear" w:color="auto" w:fill="FCFCFC"/>
              </w:rPr>
              <w:t xml:space="preserve">Bộ phận tiếp nhận và trả kết quả UBND </w:t>
            </w:r>
            <w:r w:rsidRPr="004B3EF7">
              <w:rPr>
                <w:color w:val="000000"/>
                <w:sz w:val="26"/>
                <w:szCs w:val="26"/>
              </w:rPr>
              <w:t>Quận</w:t>
            </w: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Đối tượng thực hiện</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color w:val="000000"/>
                <w:sz w:val="26"/>
                <w:szCs w:val="26"/>
              </w:rPr>
              <w:t>Tổ chức hoặc cá nhân</w:t>
            </w:r>
          </w:p>
        </w:tc>
      </w:tr>
      <w:tr w:rsidR="000347BB" w:rsidRPr="004B3EF7" w:rsidTr="00A951A9">
        <w:tc>
          <w:tcPr>
            <w:tcW w:w="758" w:type="pct"/>
            <w:shd w:val="clear" w:color="auto" w:fill="FAFAFA"/>
            <w:vAlign w:val="center"/>
            <w:hideMark/>
          </w:tcPr>
          <w:p w:rsidR="000347BB" w:rsidRPr="004B3EF7" w:rsidRDefault="000347BB" w:rsidP="00A951A9">
            <w:pPr>
              <w:spacing w:after="0" w:line="288" w:lineRule="auto"/>
              <w:rPr>
                <w:color w:val="000000"/>
                <w:sz w:val="26"/>
                <w:szCs w:val="26"/>
              </w:rPr>
            </w:pPr>
          </w:p>
        </w:tc>
        <w:tc>
          <w:tcPr>
            <w:tcW w:w="4242" w:type="pct"/>
            <w:shd w:val="clear" w:color="auto" w:fill="FAFAFA"/>
            <w:vAlign w:val="center"/>
            <w:hideMark/>
          </w:tcPr>
          <w:p w:rsidR="000347BB" w:rsidRPr="004B3EF7" w:rsidRDefault="000347BB" w:rsidP="00A951A9">
            <w:pPr>
              <w:spacing w:after="0" w:line="288" w:lineRule="auto"/>
              <w:rPr>
                <w:color w:val="000000"/>
                <w:sz w:val="26"/>
                <w:szCs w:val="26"/>
              </w:rPr>
            </w:pP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Trình tự thực hiện</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0347BB">
            <w:pPr>
              <w:shd w:val="clear" w:color="auto" w:fill="FFFFFF"/>
              <w:spacing w:before="0" w:after="0"/>
              <w:jc w:val="left"/>
              <w:rPr>
                <w:rFonts w:eastAsia="Times New Roman"/>
                <w:color w:val="1E2F41"/>
                <w:sz w:val="26"/>
                <w:szCs w:val="26"/>
              </w:rPr>
            </w:pPr>
            <w:r w:rsidRPr="004B3EF7">
              <w:rPr>
                <w:rFonts w:eastAsia="Times New Roman"/>
                <w:color w:val="1E2F41"/>
                <w:sz w:val="26"/>
                <w:szCs w:val="26"/>
              </w:rPr>
              <w:t>Bước 1: Tổ chức, cá nhân sản xuất thực phẩm và kinh doanh dịch vụ ăn uống nộp hồ sơ đăng ký Cấp Giấy chứng nhận đủ điều kiện an toàn thực phẩm qua hệ thống dịch vụ công trực tuyến hoặc đường bưu điện hoặc nộp trực tiếp đến cơ quan tiếp nhận hồ sơ do Ủy ban nhân dân phân cấp tỉnh phân cấp.</w:t>
            </w:r>
            <w:r w:rsidRPr="004B3EF7">
              <w:rPr>
                <w:rFonts w:eastAsia="Times New Roman"/>
                <w:color w:val="1E2F41"/>
                <w:sz w:val="26"/>
                <w:szCs w:val="26"/>
              </w:rPr>
              <w:br/>
              <w:t xml:space="preserve">Bước 2: </w:t>
            </w:r>
            <w:r w:rsidRPr="004B3EF7">
              <w:rPr>
                <w:rFonts w:eastAsia="Times New Roman"/>
                <w:color w:val="1E2F41"/>
                <w:sz w:val="26"/>
                <w:szCs w:val="26"/>
              </w:rPr>
              <w:br/>
              <w:t>Trường hợp có yêu cầu sửa đổi, bổ sung hồ sơ, cơ quan tiếp nhận hồ sơ có trách nhiệm thông báo bằng văn bản cho cơ sở trong thời hạn 05 làm việc ngày kể từ khi nhận đủ hồ sơ.</w:t>
            </w:r>
            <w:r w:rsidRPr="004B3EF7">
              <w:rPr>
                <w:rFonts w:eastAsia="Times New Roman"/>
                <w:color w:val="1E2F41"/>
                <w:sz w:val="26"/>
                <w:szCs w:val="26"/>
              </w:rPr>
              <w:br/>
              <w:t>Trường hợp quá 30 ngày kể từ khi nhận được thông báo, cơ sở không bổ sung, hoàn chỉnh hồ sơ theo yêu cầu thì hồ sơ của cơ sở không còn giá trị. Tổ chức, cá nhân phải nộp hồ sơ mới để được cấp Giấy chứng nhận nếu có nhu cầu.</w:t>
            </w:r>
            <w:r w:rsidRPr="004B3EF7">
              <w:rPr>
                <w:rFonts w:eastAsia="Times New Roman"/>
                <w:color w:val="1E2F41"/>
                <w:sz w:val="26"/>
                <w:szCs w:val="26"/>
              </w:rPr>
              <w:br/>
              <w:t>Trường hợp hồ sơ đạt yêu cầu, cơ quan tiếp nhận hồ sơ có trách nhiệm thành lập đoàn thẩm định hoặc ủy quyền thẩm định và lập Biên bản thẩm định theo Mẫu số 2 Phụ lục I kèm theo Nghị định này trong thời hạn 15 ngày làm việc kể từ ngày nhận đủ hồ sơ. Trường hợp uỷ quyền thẩm định cho cơ quan có thẩm quyền cấp dưới thì phải có văn bản ủy quyền;</w:t>
            </w:r>
            <w:r w:rsidRPr="004B3EF7">
              <w:rPr>
                <w:rFonts w:eastAsia="Times New Roman"/>
                <w:color w:val="1E2F41"/>
                <w:sz w:val="26"/>
                <w:szCs w:val="26"/>
              </w:rPr>
              <w:br/>
              <w:t>Đoàn thẩm định do cơ quan có thẩm quyền cấp Giấy chứng nhận hoặc cơ quan được ủy quyền thẩm định ra quyết định thành lập có từ 3 đến 5 người. Trong đó có ít nhất 02 thành viên làm công tác về an toàn thực phẩm (có thể mời chuyên gia phù hợp lĩnh vực sản xuất thực phẩm của cơ sở tham gia đoàn thẩm định cơ sở).</w:t>
            </w:r>
            <w:r w:rsidRPr="004B3EF7">
              <w:rPr>
                <w:rFonts w:eastAsia="Times New Roman"/>
                <w:color w:val="1E2F41"/>
                <w:sz w:val="26"/>
                <w:szCs w:val="26"/>
              </w:rPr>
              <w:br/>
              <w:t xml:space="preserve">Đoàn thẩm định do cơ quan có thẩm quyền cấp Giấy chứng nhận hoặc cơ quan được ủy quyền thẩm định ra quyết định thành lập có từ 3 đến 5 người. Trong đó có ít nhất 02 thành viên làm công tác về an toàn thực phẩm (có thể mời chuyên gia phù hợp lĩnh vực sản xuất thực phẩm của cơ sở tham gia đoàn </w:t>
            </w:r>
            <w:r w:rsidRPr="004B3EF7">
              <w:rPr>
                <w:rFonts w:eastAsia="Times New Roman"/>
                <w:color w:val="1E2F41"/>
                <w:sz w:val="26"/>
                <w:szCs w:val="26"/>
              </w:rPr>
              <w:lastRenderedPageBreak/>
              <w:t>thẩm định cơ sở).</w:t>
            </w:r>
            <w:r w:rsidRPr="004B3EF7">
              <w:rPr>
                <w:rFonts w:eastAsia="Times New Roman"/>
                <w:color w:val="1E2F41"/>
                <w:sz w:val="26"/>
                <w:szCs w:val="26"/>
              </w:rPr>
              <w:br/>
              <w:t>Trường hợp kết quả thẩm định tại cơ sở chưa đạt yêu cầu và có thể khắc phục, đoàn thẩm định phải ghi rõ nội dung, yêu cầu và thời gian khắc phục vào Biên bản thẩm định với thời hạn khắc phục không quá 30 ngày.</w:t>
            </w:r>
            <w:r w:rsidRPr="004B3EF7">
              <w:rPr>
                <w:rFonts w:eastAsia="Times New Roman"/>
                <w:color w:val="1E2F41"/>
                <w:sz w:val="26"/>
                <w:szCs w:val="26"/>
              </w:rPr>
              <w:br/>
              <w:t>Sau khi có báo cáo kết quả khắc phục của cơ sở, Đoàn thẩm định đánh giá kết quả khắc phục và ghi kết luận vào biên bản thẩm định. Trường hợp kết quả khắc phục đạt yêu cầu sẽ được cấp Giấy chứng nhận theo quy định tại Điểm d Khoản 3 Điều 6 Chương III thuộc Khoản 3 Điều 2 Nghị định này.</w:t>
            </w:r>
            <w:r w:rsidRPr="004B3EF7">
              <w:rPr>
                <w:rFonts w:eastAsia="Times New Roman"/>
                <w:color w:val="1E2F41"/>
                <w:sz w:val="26"/>
                <w:szCs w:val="26"/>
              </w:rPr>
              <w:br/>
              <w:t>Trường hợp kết quả khắc phục không đạt yêu cầu thì cơ quan tiếp nhận hồ sơ thông báo kết quả thẩm định cơ sở không đạt yêu cầu bằng văn bản cho cơ sở và cho cơ quan quản lý địa phương; Trường hợp kết quả thẩm định không đạt yêu cầu, cơ quan tiếp nhận hồ sơ thông báo bằng văn bản cho cơ quan quản lý địa phương giám sát và yêu cầu cơ sở không được hoạt động cho đến khi được cấp Giấy chứng nhận.</w:t>
            </w:r>
            <w:r w:rsidRPr="004B3EF7">
              <w:rPr>
                <w:rFonts w:eastAsia="Times New Roman"/>
                <w:color w:val="1E2F41"/>
                <w:sz w:val="26"/>
                <w:szCs w:val="26"/>
              </w:rPr>
              <w:br/>
              <w:t>Trường hợp thay đổi tên của doanh nghiệp hoặc/và đổi chủ cơ sở, thay đổi địa chỉ nhưng không thay đổi vị trí và quy trình sản xuất thực phẩm, kinh doanh dịch vụ ăn uống và Giấy chứng nhận phải còn thời hạn thì cơ sở gửi thông báo thay đổi thông tin trên Giấy chứng nhận và kèm bản sao văn bản hợp pháp thể hiện sự thay đổi đó đến cơ quan tiếp nhận hồ sơ đã cấp Giấy chứng nhận qua hệ thống dịch vụ công trực tuyến hoặc qua đường bưu điện hoặc tại cơ quan tiếp nhận hồ sơ.</w:t>
            </w:r>
          </w:p>
          <w:p w:rsidR="000347BB" w:rsidRPr="004B3EF7" w:rsidRDefault="000347BB" w:rsidP="000347BB">
            <w:pPr>
              <w:numPr>
                <w:ilvl w:val="0"/>
                <w:numId w:val="4"/>
              </w:numPr>
              <w:spacing w:before="0" w:after="0" w:line="288" w:lineRule="auto"/>
              <w:ind w:left="0"/>
              <w:jc w:val="both"/>
              <w:textAlignment w:val="baseline"/>
              <w:rPr>
                <w:color w:val="000000"/>
                <w:sz w:val="26"/>
                <w:szCs w:val="26"/>
              </w:rPr>
            </w:pP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lastRenderedPageBreak/>
              <w:t>Thời hạn giải quyết</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textAlignment w:val="baseline"/>
              <w:rPr>
                <w:b/>
                <w:color w:val="000000"/>
                <w:sz w:val="26"/>
                <w:szCs w:val="26"/>
              </w:rPr>
            </w:pPr>
            <w:r w:rsidRPr="004B3EF7">
              <w:rPr>
                <w:b/>
                <w:color w:val="000000"/>
                <w:sz w:val="26"/>
                <w:szCs w:val="26"/>
              </w:rPr>
              <w:t>Trực tiếp</w:t>
            </w:r>
          </w:p>
          <w:p w:rsidR="000347BB" w:rsidRPr="004B3EF7" w:rsidRDefault="000347BB" w:rsidP="000347BB">
            <w:pPr>
              <w:spacing w:after="0" w:line="288" w:lineRule="auto"/>
              <w:textAlignment w:val="baseline"/>
              <w:rPr>
                <w:color w:val="000000"/>
                <w:sz w:val="26"/>
                <w:szCs w:val="26"/>
              </w:rPr>
            </w:pPr>
            <w:r w:rsidRPr="004B3EF7">
              <w:rPr>
                <w:color w:val="000000"/>
                <w:sz w:val="26"/>
                <w:szCs w:val="26"/>
                <w:lang w:val="vi-VN"/>
              </w:rPr>
              <w:t>2</w:t>
            </w:r>
            <w:r w:rsidRPr="004B3EF7">
              <w:rPr>
                <w:color w:val="000000"/>
                <w:sz w:val="26"/>
                <w:szCs w:val="26"/>
              </w:rPr>
              <w:t>0</w:t>
            </w:r>
            <w:r w:rsidRPr="004B3EF7">
              <w:rPr>
                <w:color w:val="000000"/>
                <w:sz w:val="26"/>
                <w:szCs w:val="26"/>
                <w:lang w:val="vi-VN"/>
              </w:rPr>
              <w:t xml:space="preserve"> ngày làm việc, kể từ khi nhận đủ hồ sơ hợp lệ  </w:t>
            </w: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Phí</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4B3EF7">
            <w:pPr>
              <w:spacing w:after="0" w:line="288" w:lineRule="auto"/>
              <w:jc w:val="left"/>
              <w:textAlignment w:val="baseline"/>
              <w:rPr>
                <w:color w:val="000000"/>
                <w:sz w:val="26"/>
                <w:szCs w:val="26"/>
              </w:rPr>
            </w:pPr>
            <w:r w:rsidRPr="004B3EF7">
              <w:rPr>
                <w:rFonts w:eastAsia="Times New Roman"/>
                <w:color w:val="1E2F41"/>
                <w:sz w:val="26"/>
                <w:szCs w:val="26"/>
              </w:rPr>
              <w:t>Phí : 500000 Đồng</w:t>
            </w:r>
            <w:r w:rsidRPr="004B3EF7">
              <w:rPr>
                <w:rFonts w:eastAsia="Times New Roman"/>
                <w:color w:val="1E2F41"/>
                <w:sz w:val="26"/>
                <w:szCs w:val="26"/>
              </w:rPr>
              <w:br/>
              <w:t>(Đối với cơ sở sản xuất nhỏ lẻ được cấp giấy chứng nhận cơ sở đủ điều kiện an toàn thực phẩm)</w:t>
            </w:r>
            <w:r w:rsidRPr="004B3EF7">
              <w:rPr>
                <w:rFonts w:eastAsia="Times New Roman"/>
                <w:color w:val="1E2F41"/>
                <w:sz w:val="26"/>
                <w:szCs w:val="26"/>
              </w:rPr>
              <w:br/>
              <w:t>Phí : 2500000 Đồng</w:t>
            </w:r>
            <w:r w:rsidRPr="004B3EF7">
              <w:rPr>
                <w:rFonts w:eastAsia="Times New Roman"/>
                <w:color w:val="1E2F41"/>
                <w:sz w:val="26"/>
                <w:szCs w:val="26"/>
              </w:rPr>
              <w:br/>
              <w:t>(Đối với cơ sở sản xuất khác được giấy chứng nhận cơ sở đủ điều kiện an toàn thực phẩm)</w:t>
            </w:r>
            <w:r w:rsidRPr="004B3EF7">
              <w:rPr>
                <w:rFonts w:eastAsia="Times New Roman"/>
                <w:color w:val="1E2F41"/>
                <w:sz w:val="26"/>
                <w:szCs w:val="26"/>
              </w:rPr>
              <w:br/>
              <w:t>Phí : 700000 Đồng</w:t>
            </w:r>
            <w:r w:rsidRPr="004B3EF7">
              <w:rPr>
                <w:rFonts w:eastAsia="Times New Roman"/>
                <w:color w:val="1E2F41"/>
                <w:sz w:val="26"/>
                <w:szCs w:val="26"/>
              </w:rPr>
              <w:br/>
              <w:t>(Đối với cơ sở kinh doanh dịch vụ ăn uống Phục vụ dưới 200 suất ăn:)</w:t>
            </w:r>
            <w:r w:rsidRPr="004B3EF7">
              <w:rPr>
                <w:rFonts w:eastAsia="Times New Roman"/>
                <w:color w:val="1E2F41"/>
                <w:sz w:val="26"/>
                <w:szCs w:val="26"/>
              </w:rPr>
              <w:br/>
              <w:t>Phí : 1000000 Đồng</w:t>
            </w:r>
            <w:r w:rsidRPr="004B3EF7">
              <w:rPr>
                <w:rFonts w:eastAsia="Times New Roman"/>
                <w:color w:val="1E2F41"/>
                <w:sz w:val="26"/>
                <w:szCs w:val="26"/>
              </w:rPr>
              <w:br/>
              <w:t>(Đối với cơ sở kinh doanh dịch vụ ăn uống Phục vụ từ 200 suất ăn trở lên:)</w:t>
            </w: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Lệ Phí</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textAlignment w:val="baseline"/>
              <w:rPr>
                <w:color w:val="000000"/>
                <w:sz w:val="26"/>
                <w:szCs w:val="26"/>
              </w:rPr>
            </w:pPr>
            <w:r w:rsidRPr="004B3EF7">
              <w:rPr>
                <w:color w:val="000000"/>
                <w:sz w:val="26"/>
                <w:szCs w:val="26"/>
              </w:rPr>
              <w:t>Không</w:t>
            </w: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lastRenderedPageBreak/>
              <w:t>Thành phần hồ sơ</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tbl>
            <w:tblPr>
              <w:tblW w:w="837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19"/>
              <w:gridCol w:w="1559"/>
              <w:gridCol w:w="1701"/>
            </w:tblGrid>
            <w:tr w:rsidR="000347BB" w:rsidRPr="000347BB" w:rsidTr="000347BB">
              <w:trPr>
                <w:tblHeader/>
              </w:trPr>
              <w:tc>
                <w:tcPr>
                  <w:tcW w:w="5119" w:type="dxa"/>
                  <w:tcBorders>
                    <w:bottom w:val="single" w:sz="12" w:space="0" w:color="CE7A58"/>
                  </w:tcBorders>
                  <w:shd w:val="clear" w:color="auto" w:fill="FFFFFF"/>
                  <w:noWrap/>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Tên giấy tờ</w:t>
                  </w:r>
                </w:p>
              </w:tc>
              <w:tc>
                <w:tcPr>
                  <w:tcW w:w="1559" w:type="dxa"/>
                  <w:tcBorders>
                    <w:bottom w:val="single" w:sz="12" w:space="0" w:color="CE7A58"/>
                  </w:tcBorders>
                  <w:shd w:val="clear" w:color="auto" w:fill="FFFFFF"/>
                  <w:noWrap/>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Mẫu đơn, tờ khai</w:t>
                  </w:r>
                </w:p>
              </w:tc>
              <w:tc>
                <w:tcPr>
                  <w:tcW w:w="1701" w:type="dxa"/>
                  <w:tcBorders>
                    <w:bottom w:val="single" w:sz="12" w:space="0" w:color="CE7A58"/>
                  </w:tcBorders>
                  <w:shd w:val="clear" w:color="auto" w:fill="FFFFFF"/>
                  <w:noWrap/>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Số lượng</w:t>
                  </w:r>
                </w:p>
              </w:tc>
            </w:tr>
            <w:tr w:rsidR="000347BB" w:rsidRPr="000347BB" w:rsidTr="000347BB">
              <w:tc>
                <w:tcPr>
                  <w:tcW w:w="5119"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Đơn đề nghị cấp Giấy chứng nhận (Mẫu số 1 Phụ lục I kèm theo Nghị định này);</w:t>
                  </w:r>
                </w:p>
              </w:tc>
              <w:tc>
                <w:tcPr>
                  <w:tcW w:w="1559"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4B3EF7">
                    <w:rPr>
                      <w:rFonts w:eastAsia="Times New Roman"/>
                      <w:color w:val="CE7A58"/>
                      <w:sz w:val="26"/>
                      <w:szCs w:val="26"/>
                    </w:rPr>
                    <w:t>phụ lục.docx</w:t>
                  </w:r>
                </w:p>
              </w:tc>
              <w:tc>
                <w:tcPr>
                  <w:tcW w:w="1701"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Bản chính: 1</w:t>
                  </w:r>
                  <w:r w:rsidRPr="000347BB">
                    <w:rPr>
                      <w:rFonts w:eastAsia="Times New Roman"/>
                      <w:color w:val="1E2F41"/>
                      <w:sz w:val="26"/>
                      <w:szCs w:val="26"/>
                    </w:rPr>
                    <w:br/>
                    <w:t>Bản sao: 0</w:t>
                  </w:r>
                </w:p>
              </w:tc>
            </w:tr>
            <w:tr w:rsidR="000347BB" w:rsidRPr="000347BB" w:rsidTr="000347BB">
              <w:tc>
                <w:tcPr>
                  <w:tcW w:w="5119"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Bản sao Giấy chứng nhận đăng ký kinh doanh hoặc Giấy chứng nhận đăng ký doanh nghiệp có ngành nghề phù hợp với loại thực phẩm của cơ sở sản xuất (có xác nhận của cơ sở);</w:t>
                  </w:r>
                </w:p>
              </w:tc>
              <w:tc>
                <w:tcPr>
                  <w:tcW w:w="1559"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p>
              </w:tc>
              <w:tc>
                <w:tcPr>
                  <w:tcW w:w="1701"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Bản chính: 0</w:t>
                  </w:r>
                  <w:r w:rsidRPr="000347BB">
                    <w:rPr>
                      <w:rFonts w:eastAsia="Times New Roman"/>
                      <w:color w:val="1E2F41"/>
                      <w:sz w:val="26"/>
                      <w:szCs w:val="26"/>
                    </w:rPr>
                    <w:br/>
                    <w:t>Bản sao: 1</w:t>
                  </w:r>
                </w:p>
              </w:tc>
            </w:tr>
            <w:tr w:rsidR="000347BB" w:rsidRPr="000347BB" w:rsidTr="000347BB">
              <w:tc>
                <w:tcPr>
                  <w:tcW w:w="5119"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Bản thuyết minh về cơ sở vật chất, trang thiết bị dụng cụ bảo đảm điều kiện vệ sinh an toàn thực phẩm.</w:t>
                  </w:r>
                </w:p>
              </w:tc>
              <w:tc>
                <w:tcPr>
                  <w:tcW w:w="1559"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p>
              </w:tc>
              <w:tc>
                <w:tcPr>
                  <w:tcW w:w="1701"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Bản chính: 1</w:t>
                  </w:r>
                  <w:r w:rsidRPr="000347BB">
                    <w:rPr>
                      <w:rFonts w:eastAsia="Times New Roman"/>
                      <w:color w:val="1E2F41"/>
                      <w:sz w:val="26"/>
                      <w:szCs w:val="26"/>
                    </w:rPr>
                    <w:br/>
                    <w:t>Bản sao: 0</w:t>
                  </w:r>
                </w:p>
              </w:tc>
            </w:tr>
            <w:tr w:rsidR="000347BB" w:rsidRPr="000347BB" w:rsidTr="000347BB">
              <w:tc>
                <w:tcPr>
                  <w:tcW w:w="5119"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Giấy xác nhận đủ sức khỏe của chủ cơ sở và người trực tiếp sản xuất, kinh doanh thực phẩm do cơ sở y tế tuyến huyện trở lên cấp.</w:t>
                  </w:r>
                </w:p>
              </w:tc>
              <w:tc>
                <w:tcPr>
                  <w:tcW w:w="1559"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p>
              </w:tc>
              <w:tc>
                <w:tcPr>
                  <w:tcW w:w="1701" w:type="dxa"/>
                  <w:tcBorders>
                    <w:bottom w:val="single" w:sz="6" w:space="0" w:color="E9F0F8"/>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Bản chính: 1</w:t>
                  </w:r>
                  <w:r w:rsidRPr="000347BB">
                    <w:rPr>
                      <w:rFonts w:eastAsia="Times New Roman"/>
                      <w:color w:val="1E2F41"/>
                      <w:sz w:val="26"/>
                      <w:szCs w:val="26"/>
                    </w:rPr>
                    <w:br/>
                    <w:t>Bản sao: 0</w:t>
                  </w:r>
                </w:p>
              </w:tc>
            </w:tr>
            <w:tr w:rsidR="000347BB" w:rsidRPr="000347BB" w:rsidTr="000347BB">
              <w:tc>
                <w:tcPr>
                  <w:tcW w:w="5119" w:type="dxa"/>
                  <w:tcBorders>
                    <w:bottom w:val="nil"/>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Danh sách người sản xuất thực phẩm, kinh doanh dịch vụ ăn uống đã được tập huấn kiến thức an toàn thực phẩm có xác nhận của chủ cơ sở.</w:t>
                  </w:r>
                </w:p>
              </w:tc>
              <w:tc>
                <w:tcPr>
                  <w:tcW w:w="1559" w:type="dxa"/>
                  <w:tcBorders>
                    <w:bottom w:val="nil"/>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p>
              </w:tc>
              <w:tc>
                <w:tcPr>
                  <w:tcW w:w="1701" w:type="dxa"/>
                  <w:tcBorders>
                    <w:bottom w:val="nil"/>
                  </w:tcBorders>
                  <w:shd w:val="clear" w:color="auto" w:fill="FFFFFF"/>
                  <w:tcMar>
                    <w:top w:w="150" w:type="dxa"/>
                    <w:left w:w="150" w:type="dxa"/>
                    <w:bottom w:w="150" w:type="dxa"/>
                    <w:right w:w="150" w:type="dxa"/>
                  </w:tcMar>
                  <w:vAlign w:val="center"/>
                  <w:hideMark/>
                </w:tcPr>
                <w:p w:rsidR="000347BB" w:rsidRPr="000347BB" w:rsidRDefault="000347BB" w:rsidP="000347BB">
                  <w:pPr>
                    <w:spacing w:before="0" w:after="0" w:line="330" w:lineRule="atLeast"/>
                    <w:jc w:val="left"/>
                    <w:rPr>
                      <w:rFonts w:eastAsia="Times New Roman"/>
                      <w:color w:val="1E2F41"/>
                      <w:sz w:val="26"/>
                      <w:szCs w:val="26"/>
                    </w:rPr>
                  </w:pPr>
                  <w:r w:rsidRPr="000347BB">
                    <w:rPr>
                      <w:rFonts w:eastAsia="Times New Roman"/>
                      <w:color w:val="1E2F41"/>
                      <w:sz w:val="26"/>
                      <w:szCs w:val="26"/>
                    </w:rPr>
                    <w:t>Bản chính: 1</w:t>
                  </w:r>
                  <w:r w:rsidRPr="000347BB">
                    <w:rPr>
                      <w:rFonts w:eastAsia="Times New Roman"/>
                      <w:color w:val="1E2F41"/>
                      <w:sz w:val="26"/>
                      <w:szCs w:val="26"/>
                    </w:rPr>
                    <w:br/>
                    <w:t>Bản sao: 0</w:t>
                  </w:r>
                </w:p>
              </w:tc>
            </w:tr>
          </w:tbl>
          <w:p w:rsidR="000347BB" w:rsidRPr="004B3EF7" w:rsidRDefault="000347BB" w:rsidP="00A951A9">
            <w:pPr>
              <w:spacing w:after="0" w:line="288" w:lineRule="auto"/>
              <w:rPr>
                <w:color w:val="000000"/>
                <w:sz w:val="26"/>
                <w:szCs w:val="26"/>
              </w:rPr>
            </w:pP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Số lượng bộ hồ sơ</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color w:val="000000"/>
                <w:sz w:val="26"/>
                <w:szCs w:val="26"/>
              </w:rPr>
              <w:t>01 bộ</w:t>
            </w: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Yêu cầu - điều kiện</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4B3EF7" w:rsidRDefault="004B3EF7" w:rsidP="00A951A9">
            <w:pPr>
              <w:spacing w:after="0" w:line="288" w:lineRule="auto"/>
              <w:textAlignment w:val="baseline"/>
              <w:rPr>
                <w:color w:val="1E2F41"/>
                <w:sz w:val="26"/>
                <w:szCs w:val="26"/>
                <w:shd w:val="clear" w:color="auto" w:fill="FFFFFF"/>
              </w:rPr>
            </w:pPr>
            <w:r w:rsidRPr="004B3EF7">
              <w:rPr>
                <w:color w:val="1E2F41"/>
                <w:sz w:val="26"/>
                <w:szCs w:val="26"/>
                <w:shd w:val="clear" w:color="auto" w:fill="FFFFFF"/>
              </w:rPr>
              <w:t xml:space="preserve">I. Cơ sở sản xuất, kinh doanh thực phẩm thuộc thẩm quyền quản lý của Bộ Y tế 1. Tuân thủ các quy định tại Điều 19, 20, 21, 22, 25, 26 và Điều 27 Luật an toàn thực phẩm và các yêu cầu cụ thể sau: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a) Quy trình sản xuất thực phẩm được bố trí theo nguyên tắc một chiều từ nguyên liệu đầu vào cho đến sản phẩm cuối cùng;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b) Tường, trần, nền nhà khu vực sản xuất, kinh doanh, kho sản phẩm không thấm nước, rạn nứt, ẩm mốc;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c) Trang thiết bị, dụng cụ tiếp xúc trực tiếp với thực phẩm dễ làm vệ sinh, không thôi nhiễm chất độc hại và không gây ô nhiễm đối với thực phẩm;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d) Có ủng hoặc giầy, dép để sử dụng riêng trong khu vực sản xuất thực phẩm; đ) Bảo đảm không có côn trùng và động vật gây hại xâm nhập vào khu vực </w:t>
            </w:r>
            <w:r w:rsidRPr="004B3EF7">
              <w:rPr>
                <w:color w:val="1E2F41"/>
                <w:sz w:val="26"/>
                <w:szCs w:val="26"/>
                <w:shd w:val="clear" w:color="auto" w:fill="FFFFFF"/>
              </w:rPr>
              <w:lastRenderedPageBreak/>
              <w:t xml:space="preserve">sản xuất và kho chứa thực phẩm, nguyên liệu thực phẩm; không sử dụng hoá chất diệt chuột, côn trùng và động vật gây hại trong khu vực sản xuất và kho chứa thực phẩm, nguyên liệu thực phẩm;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e) Không bày bán hoá chất dùng cho mục đích khác trong cơ sở kinh doanh phụ gia, chất hỗ trợ chế biến thực phẩm.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2. Người trực tiếp sản xuất, kinh doanh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3. Đối với cơ sở sản xuất thực phẩm bảo vệ sức khỏe thực hiện theo quy định tại Điều 28 Nghị định số 15/2018/NĐ-CP ngày 02/02/2018 của Chính phủ quy định chi tiết thi hành một số điều của Luật an toàn thực phẩm. II. Cơ sở kinh doanh dịch vụ ăn uống 1. Tuân thủ các quy định tại Điều 28, 29 và Điều 30 Luật an toàn thực phẩm và các yêu cầu cụ thể sau: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a) Thực hiện kiểm thực ba bước và lưu mẫu thức ăn theo hướng dẫn của Bộ Y tế;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b) Thiết bị, phương tiện vận chuyển, bảo quản thực phẩm phải bảo đảm vệ sinh và không gây ô nhiễm cho thực phẩm;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2. Người trực tiếp chế biến thức ăn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III. Cơ sở sản xuất, kinh doanh phụ gia thực phẩm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1. Đáp ứng các quy định chung về điều kiện bảo đảm an toàn thực phẩm được quy định tại khoản 1 Điều 19, khoản 1 Điều 20, khoản 1 Điều 21 Luật an toàn thực phẩm. </w:t>
            </w:r>
          </w:p>
          <w:p w:rsid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 xml:space="preserve">2. Chỉ được phối trộn các phụ gia thực phẩm khi các phụ gia thực phẩm đó thuộc danh mục các chất phụ gia được phép sử dụng trong thực phẩm do Bộ Y tế quy định và sản phẩm cuối cùng của sự phối trộn không gây ra bất cứ tác hại nào với sức khỏe con người; trường hợp tạo ra một sản phẩm mới, có công dụng mới phải chứng minh công dụng, đối tượng sử dụng và mức sử dụng tối đa. </w:t>
            </w:r>
          </w:p>
          <w:p w:rsidR="000347BB" w:rsidRPr="004B3EF7" w:rsidRDefault="004B3EF7" w:rsidP="004B3EF7">
            <w:pPr>
              <w:spacing w:after="0" w:line="288" w:lineRule="auto"/>
              <w:jc w:val="left"/>
              <w:textAlignment w:val="baseline"/>
              <w:rPr>
                <w:color w:val="1E2F41"/>
                <w:sz w:val="26"/>
                <w:szCs w:val="26"/>
                <w:shd w:val="clear" w:color="auto" w:fill="FFFFFF"/>
              </w:rPr>
            </w:pPr>
            <w:r w:rsidRPr="004B3EF7">
              <w:rPr>
                <w:color w:val="1E2F41"/>
                <w:sz w:val="26"/>
                <w:szCs w:val="26"/>
                <w:shd w:val="clear" w:color="auto" w:fill="FFFFFF"/>
              </w:rPr>
              <w:t>3. Việc sang chia, san, chiết phụ gia thực phẩm phải được thực hiện tại cơ sở đủ điều kiện an toàn thực phẩm và ghi nhãn theo quy định hiện hành.</w:t>
            </w: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lastRenderedPageBreak/>
              <w:t>Căn cứ pháp lý</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tbl>
            <w:tblPr>
              <w:tblW w:w="852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32"/>
              <w:gridCol w:w="3229"/>
              <w:gridCol w:w="1701"/>
              <w:gridCol w:w="1559"/>
            </w:tblGrid>
            <w:tr w:rsidR="004B3EF7" w:rsidRPr="004B3EF7" w:rsidTr="004B3EF7">
              <w:trPr>
                <w:tblHeader/>
              </w:trPr>
              <w:tc>
                <w:tcPr>
                  <w:tcW w:w="2032" w:type="dxa"/>
                  <w:tcBorders>
                    <w:bottom w:val="single" w:sz="12" w:space="0" w:color="CE7A58"/>
                  </w:tcBorders>
                  <w:shd w:val="clear" w:color="auto" w:fill="FFFFFF"/>
                  <w:noWrap/>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Số ký hiệu</w:t>
                  </w:r>
                </w:p>
              </w:tc>
              <w:tc>
                <w:tcPr>
                  <w:tcW w:w="3229" w:type="dxa"/>
                  <w:tcBorders>
                    <w:bottom w:val="single" w:sz="12" w:space="0" w:color="CE7A58"/>
                  </w:tcBorders>
                  <w:shd w:val="clear" w:color="auto" w:fill="FFFFFF"/>
                  <w:noWrap/>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Trích yếu</w:t>
                  </w:r>
                </w:p>
              </w:tc>
              <w:tc>
                <w:tcPr>
                  <w:tcW w:w="1701" w:type="dxa"/>
                  <w:tcBorders>
                    <w:bottom w:val="single" w:sz="12" w:space="0" w:color="CE7A58"/>
                  </w:tcBorders>
                  <w:shd w:val="clear" w:color="auto" w:fill="FFFFFF"/>
                  <w:noWrap/>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Ngày ban hành</w:t>
                  </w:r>
                </w:p>
              </w:tc>
              <w:tc>
                <w:tcPr>
                  <w:tcW w:w="1559" w:type="dxa"/>
                  <w:tcBorders>
                    <w:bottom w:val="single" w:sz="12" w:space="0" w:color="CE7A58"/>
                  </w:tcBorders>
                  <w:shd w:val="clear" w:color="auto" w:fill="FFFFFF"/>
                  <w:noWrap/>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Cơ quan ban hành</w:t>
                  </w:r>
                </w:p>
              </w:tc>
            </w:tr>
            <w:tr w:rsidR="004B3EF7" w:rsidRPr="004B3EF7" w:rsidTr="004B3EF7">
              <w:tc>
                <w:tcPr>
                  <w:tcW w:w="2032" w:type="dxa"/>
                  <w:tcBorders>
                    <w:bottom w:val="single" w:sz="6" w:space="0" w:color="E9F0F8"/>
                  </w:tcBorders>
                  <w:shd w:val="clear" w:color="auto" w:fill="FFFFFF"/>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55/2010/QH12</w:t>
                  </w:r>
                </w:p>
              </w:tc>
              <w:tc>
                <w:tcPr>
                  <w:tcW w:w="3229" w:type="dxa"/>
                  <w:tcBorders>
                    <w:bottom w:val="single" w:sz="6" w:space="0" w:color="E9F0F8"/>
                  </w:tcBorders>
                  <w:shd w:val="clear" w:color="auto" w:fill="FFFFFF"/>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Luật 55/2010/QH12-An toàn thực phẩm</w:t>
                  </w:r>
                </w:p>
              </w:tc>
              <w:tc>
                <w:tcPr>
                  <w:tcW w:w="1701" w:type="dxa"/>
                  <w:tcBorders>
                    <w:bottom w:val="single" w:sz="6" w:space="0" w:color="E9F0F8"/>
                  </w:tcBorders>
                  <w:shd w:val="clear" w:color="auto" w:fill="FFFFFF"/>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17-06-2010</w:t>
                  </w:r>
                </w:p>
              </w:tc>
              <w:tc>
                <w:tcPr>
                  <w:tcW w:w="1559" w:type="dxa"/>
                  <w:tcBorders>
                    <w:bottom w:val="single" w:sz="6" w:space="0" w:color="E9F0F8"/>
                  </w:tcBorders>
                  <w:shd w:val="clear" w:color="auto" w:fill="FFFFFF"/>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Quốc Hội</w:t>
                  </w:r>
                </w:p>
              </w:tc>
            </w:tr>
            <w:tr w:rsidR="004B3EF7" w:rsidRPr="004B3EF7" w:rsidTr="004B3EF7">
              <w:tc>
                <w:tcPr>
                  <w:tcW w:w="2032" w:type="dxa"/>
                  <w:tcBorders>
                    <w:bottom w:val="nil"/>
                  </w:tcBorders>
                  <w:shd w:val="clear" w:color="auto" w:fill="FFFFFF"/>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155/2018/NĐ-CP</w:t>
                  </w:r>
                </w:p>
              </w:tc>
              <w:tc>
                <w:tcPr>
                  <w:tcW w:w="3229" w:type="dxa"/>
                  <w:tcBorders>
                    <w:bottom w:val="nil"/>
                  </w:tcBorders>
                  <w:shd w:val="clear" w:color="auto" w:fill="FFFFFF"/>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Nghị định 155/2018/NĐ-CP Sửa đổi, bổ sung một số quy định liên quan đến điều kiện đầu tư kinh doanh thuộc phạm vi quản lý nhà nước của Bộ Y tế</w:t>
                  </w:r>
                </w:p>
              </w:tc>
              <w:tc>
                <w:tcPr>
                  <w:tcW w:w="1701" w:type="dxa"/>
                  <w:tcBorders>
                    <w:bottom w:val="nil"/>
                  </w:tcBorders>
                  <w:shd w:val="clear" w:color="auto" w:fill="FFFFFF"/>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12-11-2018</w:t>
                  </w:r>
                </w:p>
              </w:tc>
              <w:tc>
                <w:tcPr>
                  <w:tcW w:w="1559" w:type="dxa"/>
                  <w:tcBorders>
                    <w:bottom w:val="nil"/>
                  </w:tcBorders>
                  <w:shd w:val="clear" w:color="auto" w:fill="FFFFFF"/>
                  <w:tcMar>
                    <w:top w:w="150" w:type="dxa"/>
                    <w:left w:w="150" w:type="dxa"/>
                    <w:bottom w:w="150" w:type="dxa"/>
                    <w:right w:w="150" w:type="dxa"/>
                  </w:tcMar>
                  <w:vAlign w:val="center"/>
                  <w:hideMark/>
                </w:tcPr>
                <w:p w:rsidR="004B3EF7" w:rsidRPr="004B3EF7" w:rsidRDefault="004B3EF7" w:rsidP="004B3EF7">
                  <w:pPr>
                    <w:spacing w:before="0" w:after="0" w:line="330" w:lineRule="atLeast"/>
                    <w:jc w:val="left"/>
                    <w:rPr>
                      <w:rFonts w:ascii="Arial" w:eastAsia="Times New Roman" w:hAnsi="Arial" w:cs="Arial"/>
                      <w:color w:val="1E2F41"/>
                      <w:sz w:val="24"/>
                      <w:szCs w:val="24"/>
                    </w:rPr>
                  </w:pPr>
                  <w:r w:rsidRPr="004B3EF7">
                    <w:rPr>
                      <w:rFonts w:ascii="Arial" w:eastAsia="Times New Roman" w:hAnsi="Arial" w:cs="Arial"/>
                      <w:color w:val="1E2F41"/>
                      <w:sz w:val="24"/>
                      <w:szCs w:val="24"/>
                    </w:rPr>
                    <w:t>Chính phủ</w:t>
                  </w:r>
                </w:p>
              </w:tc>
            </w:tr>
          </w:tbl>
          <w:p w:rsidR="000347BB" w:rsidRPr="004B3EF7" w:rsidRDefault="000347BB" w:rsidP="00A951A9">
            <w:pPr>
              <w:spacing w:after="0" w:line="288" w:lineRule="auto"/>
              <w:textAlignment w:val="baseline"/>
              <w:rPr>
                <w:color w:val="000000"/>
                <w:sz w:val="26"/>
                <w:szCs w:val="26"/>
              </w:rPr>
            </w:pP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Biểu mẫu đính kèm</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p>
        </w:tc>
      </w:tr>
      <w:tr w:rsidR="000347BB" w:rsidRPr="004B3EF7" w:rsidTr="00A951A9">
        <w:tc>
          <w:tcPr>
            <w:tcW w:w="758"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0347BB" w:rsidP="00A951A9">
            <w:pPr>
              <w:spacing w:after="0" w:line="288" w:lineRule="auto"/>
              <w:rPr>
                <w:color w:val="000000"/>
                <w:sz w:val="26"/>
                <w:szCs w:val="26"/>
              </w:rPr>
            </w:pPr>
            <w:r w:rsidRPr="004B3EF7">
              <w:rPr>
                <w:b/>
                <w:bCs/>
                <w:color w:val="000000"/>
                <w:sz w:val="26"/>
                <w:szCs w:val="26"/>
                <w:bdr w:val="none" w:sz="0" w:space="0" w:color="auto" w:frame="1"/>
              </w:rPr>
              <w:t>Kết quả thực hiện</w:t>
            </w:r>
          </w:p>
        </w:tc>
        <w:tc>
          <w:tcPr>
            <w:tcW w:w="4242" w:type="pct"/>
            <w:tcBorders>
              <w:top w:val="single" w:sz="6" w:space="0" w:color="DDDDDD"/>
              <w:left w:val="single" w:sz="6" w:space="0" w:color="DDDDDD"/>
              <w:bottom w:val="single" w:sz="6" w:space="0" w:color="DDDDDD"/>
              <w:right w:val="single" w:sz="6" w:space="0" w:color="DDDDDD"/>
            </w:tcBorders>
            <w:shd w:val="clear" w:color="auto" w:fill="auto"/>
            <w:tcMar>
              <w:top w:w="150" w:type="dxa"/>
              <w:left w:w="150" w:type="dxa"/>
              <w:bottom w:w="150" w:type="dxa"/>
              <w:right w:w="150" w:type="dxa"/>
            </w:tcMar>
            <w:vAlign w:val="center"/>
            <w:hideMark/>
          </w:tcPr>
          <w:p w:rsidR="000347BB" w:rsidRPr="004B3EF7" w:rsidRDefault="004B3EF7" w:rsidP="00A951A9">
            <w:pPr>
              <w:spacing w:after="0" w:line="288" w:lineRule="auto"/>
              <w:textAlignment w:val="baseline"/>
              <w:rPr>
                <w:color w:val="000000"/>
                <w:sz w:val="26"/>
                <w:szCs w:val="26"/>
              </w:rPr>
            </w:pPr>
            <w:r>
              <w:rPr>
                <w:color w:val="000000"/>
                <w:sz w:val="26"/>
                <w:szCs w:val="26"/>
              </w:rPr>
              <w:t>Giấy chứng nhận cơ sở đủ điều kiện an toàn về sinh thực phẩm</w:t>
            </w:r>
          </w:p>
        </w:tc>
      </w:tr>
    </w:tbl>
    <w:p w:rsidR="008B3C5B" w:rsidRPr="004B3EF7" w:rsidRDefault="008B3C5B" w:rsidP="00672675">
      <w:pPr>
        <w:jc w:val="both"/>
        <w:rPr>
          <w:sz w:val="26"/>
          <w:szCs w:val="26"/>
        </w:rPr>
      </w:pPr>
    </w:p>
    <w:sectPr w:rsidR="008B3C5B" w:rsidRPr="004B3EF7" w:rsidSect="004B3EF7">
      <w:footerReference w:type="default" r:id="rId8"/>
      <w:footerReference w:type="first" r:id="rId9"/>
      <w:pgSz w:w="11907" w:h="16840" w:code="9"/>
      <w:pgMar w:top="1276"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A7" w:rsidRDefault="007F06A7" w:rsidP="001C14C1">
      <w:pPr>
        <w:spacing w:before="0" w:after="0"/>
      </w:pPr>
      <w:r>
        <w:separator/>
      </w:r>
    </w:p>
  </w:endnote>
  <w:endnote w:type="continuationSeparator" w:id="0">
    <w:p w:rsidR="007F06A7" w:rsidRDefault="007F06A7" w:rsidP="001C14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354"/>
      <w:docPartObj>
        <w:docPartGallery w:val="Page Numbers (Bottom of Page)"/>
        <w:docPartUnique/>
      </w:docPartObj>
    </w:sdtPr>
    <w:sdtEndPr/>
    <w:sdtContent>
      <w:p w:rsidR="00A972B4" w:rsidRDefault="007F5978">
        <w:pPr>
          <w:pStyle w:val="Footer"/>
          <w:jc w:val="right"/>
        </w:pPr>
        <w:r>
          <w:fldChar w:fldCharType="begin"/>
        </w:r>
        <w:r>
          <w:instrText xml:space="preserve"> PAGE   \* MERGEFORMAT </w:instrText>
        </w:r>
        <w:r>
          <w:fldChar w:fldCharType="separate"/>
        </w:r>
        <w:r w:rsidR="004B3EF7">
          <w:rPr>
            <w:noProof/>
          </w:rPr>
          <w:t>2</w:t>
        </w:r>
        <w:r>
          <w:rPr>
            <w:noProof/>
          </w:rPr>
          <w:fldChar w:fldCharType="end"/>
        </w:r>
      </w:p>
    </w:sdtContent>
  </w:sdt>
  <w:p w:rsidR="001C14C1" w:rsidRDefault="001C14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539725"/>
      <w:docPartObj>
        <w:docPartGallery w:val="Page Numbers (Bottom of Page)"/>
        <w:docPartUnique/>
      </w:docPartObj>
    </w:sdtPr>
    <w:sdtEndPr>
      <w:rPr>
        <w:noProof/>
      </w:rPr>
    </w:sdtEndPr>
    <w:sdtContent>
      <w:p w:rsidR="004B3EF7" w:rsidRDefault="004B3EF7">
        <w:pPr>
          <w:pStyle w:val="Footer"/>
        </w:pPr>
        <w:r>
          <w:fldChar w:fldCharType="begin"/>
        </w:r>
        <w:r>
          <w:instrText xml:space="preserve"> PAGE   \* MERGEFORMAT </w:instrText>
        </w:r>
        <w:r>
          <w:fldChar w:fldCharType="separate"/>
        </w:r>
        <w:r>
          <w:rPr>
            <w:noProof/>
          </w:rPr>
          <w:t>1</w:t>
        </w:r>
        <w:r>
          <w:rPr>
            <w:noProof/>
          </w:rPr>
          <w:fldChar w:fldCharType="end"/>
        </w:r>
      </w:p>
    </w:sdtContent>
  </w:sdt>
  <w:p w:rsidR="004B3EF7" w:rsidRDefault="004B3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A7" w:rsidRDefault="007F06A7" w:rsidP="001C14C1">
      <w:pPr>
        <w:spacing w:before="0" w:after="0"/>
      </w:pPr>
      <w:r>
        <w:separator/>
      </w:r>
    </w:p>
  </w:footnote>
  <w:footnote w:type="continuationSeparator" w:id="0">
    <w:p w:rsidR="007F06A7" w:rsidRDefault="007F06A7" w:rsidP="001C14C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7AC3"/>
    <w:multiLevelType w:val="hybridMultilevel"/>
    <w:tmpl w:val="183AE736"/>
    <w:lvl w:ilvl="0" w:tplc="F95026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13D14"/>
    <w:multiLevelType w:val="multilevel"/>
    <w:tmpl w:val="841C90F0"/>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77F07"/>
    <w:multiLevelType w:val="hybridMultilevel"/>
    <w:tmpl w:val="7DCA3D28"/>
    <w:lvl w:ilvl="0" w:tplc="C4A6882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C643E"/>
    <w:multiLevelType w:val="hybridMultilevel"/>
    <w:tmpl w:val="9EB0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E106A"/>
    <w:multiLevelType w:val="hybridMultilevel"/>
    <w:tmpl w:val="D7E0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1498"/>
    <w:rsid w:val="000347BB"/>
    <w:rsid w:val="00061BC3"/>
    <w:rsid w:val="000A1386"/>
    <w:rsid w:val="000E1474"/>
    <w:rsid w:val="0010380E"/>
    <w:rsid w:val="00136EA4"/>
    <w:rsid w:val="00140DF5"/>
    <w:rsid w:val="001A10ED"/>
    <w:rsid w:val="001C13F2"/>
    <w:rsid w:val="001C14C1"/>
    <w:rsid w:val="00203B88"/>
    <w:rsid w:val="00272567"/>
    <w:rsid w:val="00283D35"/>
    <w:rsid w:val="002D46F8"/>
    <w:rsid w:val="00301E7C"/>
    <w:rsid w:val="0032595B"/>
    <w:rsid w:val="003407D4"/>
    <w:rsid w:val="003768FB"/>
    <w:rsid w:val="003C5421"/>
    <w:rsid w:val="003D1DBA"/>
    <w:rsid w:val="00477558"/>
    <w:rsid w:val="00487F20"/>
    <w:rsid w:val="004B3EF7"/>
    <w:rsid w:val="004B6AD4"/>
    <w:rsid w:val="004D4747"/>
    <w:rsid w:val="005159BA"/>
    <w:rsid w:val="00533D0C"/>
    <w:rsid w:val="005615AF"/>
    <w:rsid w:val="00572757"/>
    <w:rsid w:val="005C5883"/>
    <w:rsid w:val="006077E4"/>
    <w:rsid w:val="006661C9"/>
    <w:rsid w:val="00672675"/>
    <w:rsid w:val="006D13F9"/>
    <w:rsid w:val="006D5AFB"/>
    <w:rsid w:val="006F3261"/>
    <w:rsid w:val="0072429D"/>
    <w:rsid w:val="00744780"/>
    <w:rsid w:val="007B45DE"/>
    <w:rsid w:val="007F06A7"/>
    <w:rsid w:val="007F5978"/>
    <w:rsid w:val="00805DC3"/>
    <w:rsid w:val="00821F84"/>
    <w:rsid w:val="00861C79"/>
    <w:rsid w:val="008B3C5B"/>
    <w:rsid w:val="00905DF5"/>
    <w:rsid w:val="00927349"/>
    <w:rsid w:val="00964485"/>
    <w:rsid w:val="009A3907"/>
    <w:rsid w:val="009B0BB7"/>
    <w:rsid w:val="009C17A1"/>
    <w:rsid w:val="009F6F4C"/>
    <w:rsid w:val="00A30211"/>
    <w:rsid w:val="00A30951"/>
    <w:rsid w:val="00A972B4"/>
    <w:rsid w:val="00AE23BE"/>
    <w:rsid w:val="00B1117E"/>
    <w:rsid w:val="00B51970"/>
    <w:rsid w:val="00B92481"/>
    <w:rsid w:val="00BD06CF"/>
    <w:rsid w:val="00BE1D66"/>
    <w:rsid w:val="00BE5028"/>
    <w:rsid w:val="00C22FFD"/>
    <w:rsid w:val="00C323FF"/>
    <w:rsid w:val="00C40555"/>
    <w:rsid w:val="00C507EC"/>
    <w:rsid w:val="00D32BCF"/>
    <w:rsid w:val="00DD0EB3"/>
    <w:rsid w:val="00E14D29"/>
    <w:rsid w:val="00E21498"/>
    <w:rsid w:val="00E40A36"/>
    <w:rsid w:val="00E432A5"/>
    <w:rsid w:val="00E44FAB"/>
    <w:rsid w:val="00E6362C"/>
    <w:rsid w:val="00F4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498"/>
    <w:pPr>
      <w:spacing w:before="120" w:after="120" w:line="240" w:lineRule="auto"/>
      <w:jc w:val="center"/>
    </w:pPr>
    <w:rPr>
      <w:rFonts w:eastAsia="Calibri"/>
      <w:szCs w:val="22"/>
    </w:rPr>
  </w:style>
  <w:style w:type="paragraph" w:styleId="Heading2">
    <w:name w:val="heading 2"/>
    <w:basedOn w:val="Normal"/>
    <w:link w:val="Heading2Char"/>
    <w:uiPriority w:val="9"/>
    <w:qFormat/>
    <w:rsid w:val="00672675"/>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6661C9"/>
    <w:pPr>
      <w:spacing w:after="60" w:line="312" w:lineRule="auto"/>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661C9"/>
    <w:rPr>
      <w:rFonts w:asciiTheme="majorHAnsi" w:eastAsiaTheme="majorEastAsia" w:hAnsiTheme="majorHAnsi" w:cstheme="majorBidi"/>
      <w:sz w:val="24"/>
      <w:szCs w:val="24"/>
    </w:rPr>
  </w:style>
  <w:style w:type="paragraph" w:styleId="NoSpacing">
    <w:name w:val="No Spacing"/>
    <w:uiPriority w:val="1"/>
    <w:qFormat/>
    <w:rsid w:val="006661C9"/>
    <w:pPr>
      <w:spacing w:after="0" w:line="240" w:lineRule="auto"/>
    </w:pPr>
    <w:rPr>
      <w:rFonts w:eastAsia="Times New Roman"/>
      <w:sz w:val="24"/>
      <w:szCs w:val="24"/>
    </w:rPr>
  </w:style>
  <w:style w:type="paragraph" w:styleId="ListParagraph">
    <w:name w:val="List Paragraph"/>
    <w:basedOn w:val="Normal"/>
    <w:uiPriority w:val="34"/>
    <w:qFormat/>
    <w:rsid w:val="006661C9"/>
    <w:pPr>
      <w:ind w:left="720"/>
      <w:contextualSpacing/>
    </w:pPr>
    <w:rPr>
      <w:rFonts w:eastAsia="Times New Roman"/>
    </w:rPr>
  </w:style>
  <w:style w:type="paragraph" w:customStyle="1" w:styleId="Style1">
    <w:name w:val="Style1"/>
    <w:basedOn w:val="Normal"/>
    <w:qFormat/>
    <w:rsid w:val="006661C9"/>
    <w:pPr>
      <w:pBdr>
        <w:bottom w:val="single" w:sz="6" w:space="31" w:color="auto"/>
      </w:pBdr>
      <w:spacing w:before="60"/>
      <w:jc w:val="both"/>
    </w:pPr>
    <w:rPr>
      <w:rFonts w:eastAsia="Times New Roman"/>
      <w:color w:val="FF0000"/>
      <w:spacing w:val="-6"/>
      <w:szCs w:val="28"/>
      <w:lang w:val="nl-NL"/>
    </w:rPr>
  </w:style>
  <w:style w:type="paragraph" w:styleId="Header">
    <w:name w:val="header"/>
    <w:basedOn w:val="Normal"/>
    <w:link w:val="HeaderChar"/>
    <w:uiPriority w:val="99"/>
    <w:unhideWhenUsed/>
    <w:rsid w:val="001C14C1"/>
    <w:pPr>
      <w:tabs>
        <w:tab w:val="center" w:pos="4680"/>
        <w:tab w:val="right" w:pos="9360"/>
      </w:tabs>
      <w:spacing w:before="0" w:after="0"/>
    </w:pPr>
  </w:style>
  <w:style w:type="character" w:customStyle="1" w:styleId="HeaderChar">
    <w:name w:val="Header Char"/>
    <w:basedOn w:val="DefaultParagraphFont"/>
    <w:link w:val="Header"/>
    <w:uiPriority w:val="99"/>
    <w:rsid w:val="001C14C1"/>
    <w:rPr>
      <w:rFonts w:eastAsia="Calibri"/>
      <w:szCs w:val="22"/>
    </w:rPr>
  </w:style>
  <w:style w:type="paragraph" w:styleId="Footer">
    <w:name w:val="footer"/>
    <w:basedOn w:val="Normal"/>
    <w:link w:val="FooterChar"/>
    <w:uiPriority w:val="99"/>
    <w:unhideWhenUsed/>
    <w:rsid w:val="001C14C1"/>
    <w:pPr>
      <w:tabs>
        <w:tab w:val="center" w:pos="4680"/>
        <w:tab w:val="right" w:pos="9360"/>
      </w:tabs>
      <w:spacing w:before="0" w:after="0"/>
    </w:pPr>
  </w:style>
  <w:style w:type="character" w:customStyle="1" w:styleId="FooterChar">
    <w:name w:val="Footer Char"/>
    <w:basedOn w:val="DefaultParagraphFont"/>
    <w:link w:val="Footer"/>
    <w:uiPriority w:val="99"/>
    <w:rsid w:val="001C14C1"/>
    <w:rPr>
      <w:rFonts w:eastAsia="Calibri"/>
      <w:szCs w:val="22"/>
    </w:rPr>
  </w:style>
  <w:style w:type="character" w:customStyle="1" w:styleId="Heading2Char">
    <w:name w:val="Heading 2 Char"/>
    <w:basedOn w:val="DefaultParagraphFont"/>
    <w:link w:val="Heading2"/>
    <w:uiPriority w:val="9"/>
    <w:rsid w:val="00672675"/>
    <w:rPr>
      <w:rFonts w:eastAsia="Times New Roman"/>
      <w:b/>
      <w:bCs/>
      <w:sz w:val="36"/>
      <w:szCs w:val="36"/>
    </w:rPr>
  </w:style>
  <w:style w:type="paragraph" w:styleId="NormalWeb">
    <w:name w:val="Normal (Web)"/>
    <w:basedOn w:val="Normal"/>
    <w:uiPriority w:val="99"/>
    <w:qFormat/>
    <w:rsid w:val="000347BB"/>
    <w:pPr>
      <w:spacing w:before="100" w:beforeAutospacing="1" w:after="100" w:afterAutospacing="1"/>
      <w:jc w:val="left"/>
    </w:pPr>
    <w:rPr>
      <w:rFonts w:eastAsia="Times New Roman"/>
      <w:sz w:val="24"/>
      <w:szCs w:val="24"/>
    </w:rPr>
  </w:style>
  <w:style w:type="character" w:customStyle="1" w:styleId="apple-converted-space">
    <w:name w:val="apple-converted-space"/>
    <w:basedOn w:val="DefaultParagraphFont"/>
    <w:rsid w:val="000347BB"/>
  </w:style>
  <w:style w:type="character" w:customStyle="1" w:styleId="link">
    <w:name w:val="link"/>
    <w:basedOn w:val="DefaultParagraphFont"/>
    <w:rsid w:val="00034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5529">
      <w:bodyDiv w:val="1"/>
      <w:marLeft w:val="0"/>
      <w:marRight w:val="0"/>
      <w:marTop w:val="0"/>
      <w:marBottom w:val="0"/>
      <w:divBdr>
        <w:top w:val="none" w:sz="0" w:space="0" w:color="auto"/>
        <w:left w:val="none" w:sz="0" w:space="0" w:color="auto"/>
        <w:bottom w:val="none" w:sz="0" w:space="0" w:color="auto"/>
        <w:right w:val="none" w:sz="0" w:space="0" w:color="auto"/>
      </w:divBdr>
    </w:div>
    <w:div w:id="917909701">
      <w:bodyDiv w:val="1"/>
      <w:marLeft w:val="0"/>
      <w:marRight w:val="0"/>
      <w:marTop w:val="0"/>
      <w:marBottom w:val="0"/>
      <w:divBdr>
        <w:top w:val="none" w:sz="0" w:space="0" w:color="auto"/>
        <w:left w:val="none" w:sz="0" w:space="0" w:color="auto"/>
        <w:bottom w:val="none" w:sz="0" w:space="0" w:color="auto"/>
        <w:right w:val="none" w:sz="0" w:space="0" w:color="auto"/>
      </w:divBdr>
    </w:div>
    <w:div w:id="1448695338">
      <w:bodyDiv w:val="1"/>
      <w:marLeft w:val="0"/>
      <w:marRight w:val="0"/>
      <w:marTop w:val="0"/>
      <w:marBottom w:val="0"/>
      <w:divBdr>
        <w:top w:val="none" w:sz="0" w:space="0" w:color="auto"/>
        <w:left w:val="none" w:sz="0" w:space="0" w:color="auto"/>
        <w:bottom w:val="none" w:sz="0" w:space="0" w:color="auto"/>
        <w:right w:val="none" w:sz="0" w:space="0" w:color="auto"/>
      </w:divBdr>
      <w:divsChild>
        <w:div w:id="2065912489">
          <w:marLeft w:val="0"/>
          <w:marRight w:val="0"/>
          <w:marTop w:val="0"/>
          <w:marBottom w:val="0"/>
          <w:divBdr>
            <w:top w:val="none" w:sz="0" w:space="0" w:color="auto"/>
            <w:left w:val="none" w:sz="0" w:space="0" w:color="auto"/>
            <w:bottom w:val="none" w:sz="0" w:space="0" w:color="auto"/>
            <w:right w:val="none" w:sz="0" w:space="0" w:color="auto"/>
          </w:divBdr>
          <w:divsChild>
            <w:div w:id="1890340986">
              <w:marLeft w:val="0"/>
              <w:marRight w:val="0"/>
              <w:marTop w:val="0"/>
              <w:marBottom w:val="0"/>
              <w:divBdr>
                <w:top w:val="none" w:sz="0" w:space="0" w:color="auto"/>
                <w:left w:val="none" w:sz="0" w:space="0" w:color="auto"/>
                <w:bottom w:val="none" w:sz="0" w:space="0" w:color="auto"/>
                <w:right w:val="none" w:sz="0" w:space="0" w:color="auto"/>
              </w:divBdr>
              <w:divsChild>
                <w:div w:id="4572603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2803360">
          <w:marLeft w:val="0"/>
          <w:marRight w:val="0"/>
          <w:marTop w:val="0"/>
          <w:marBottom w:val="0"/>
          <w:divBdr>
            <w:top w:val="none" w:sz="0" w:space="0" w:color="auto"/>
            <w:left w:val="none" w:sz="0" w:space="0" w:color="auto"/>
            <w:bottom w:val="none" w:sz="0" w:space="0" w:color="auto"/>
            <w:right w:val="none" w:sz="0" w:space="0" w:color="auto"/>
          </w:divBdr>
          <w:divsChild>
            <w:div w:id="723870785">
              <w:marLeft w:val="0"/>
              <w:marRight w:val="0"/>
              <w:marTop w:val="0"/>
              <w:marBottom w:val="0"/>
              <w:divBdr>
                <w:top w:val="none" w:sz="0" w:space="0" w:color="auto"/>
                <w:left w:val="none" w:sz="0" w:space="0" w:color="auto"/>
                <w:bottom w:val="none" w:sz="0" w:space="0" w:color="auto"/>
                <w:right w:val="none" w:sz="0" w:space="0" w:color="auto"/>
              </w:divBdr>
              <w:divsChild>
                <w:div w:id="12749010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5759141">
          <w:marLeft w:val="0"/>
          <w:marRight w:val="0"/>
          <w:marTop w:val="0"/>
          <w:marBottom w:val="0"/>
          <w:divBdr>
            <w:top w:val="none" w:sz="0" w:space="0" w:color="auto"/>
            <w:left w:val="none" w:sz="0" w:space="0" w:color="auto"/>
            <w:bottom w:val="none" w:sz="0" w:space="0" w:color="auto"/>
            <w:right w:val="none" w:sz="0" w:space="0" w:color="auto"/>
          </w:divBdr>
          <w:divsChild>
            <w:div w:id="1047874076">
              <w:marLeft w:val="0"/>
              <w:marRight w:val="0"/>
              <w:marTop w:val="0"/>
              <w:marBottom w:val="0"/>
              <w:divBdr>
                <w:top w:val="none" w:sz="0" w:space="0" w:color="auto"/>
                <w:left w:val="none" w:sz="0" w:space="0" w:color="auto"/>
                <w:bottom w:val="none" w:sz="0" w:space="0" w:color="auto"/>
                <w:right w:val="none" w:sz="0" w:space="0" w:color="auto"/>
              </w:divBdr>
              <w:divsChild>
                <w:div w:id="1804346868">
                  <w:marLeft w:val="0"/>
                  <w:marRight w:val="0"/>
                  <w:marTop w:val="0"/>
                  <w:marBottom w:val="0"/>
                  <w:divBdr>
                    <w:top w:val="none" w:sz="0" w:space="0" w:color="auto"/>
                    <w:left w:val="none" w:sz="0" w:space="0" w:color="auto"/>
                    <w:bottom w:val="none" w:sz="0" w:space="0" w:color="auto"/>
                    <w:right w:val="none" w:sz="0" w:space="0" w:color="auto"/>
                  </w:divBdr>
                </w:div>
                <w:div w:id="567813851">
                  <w:marLeft w:val="0"/>
                  <w:marRight w:val="0"/>
                  <w:marTop w:val="0"/>
                  <w:marBottom w:val="300"/>
                  <w:divBdr>
                    <w:top w:val="none" w:sz="0" w:space="0" w:color="auto"/>
                    <w:left w:val="none" w:sz="0" w:space="0" w:color="auto"/>
                    <w:bottom w:val="none" w:sz="0" w:space="0" w:color="auto"/>
                    <w:right w:val="none" w:sz="0" w:space="0" w:color="auto"/>
                  </w:divBdr>
                </w:div>
              </w:divsChild>
            </w:div>
            <w:div w:id="343361671">
              <w:marLeft w:val="0"/>
              <w:marRight w:val="0"/>
              <w:marTop w:val="0"/>
              <w:marBottom w:val="0"/>
              <w:divBdr>
                <w:top w:val="single" w:sz="6" w:space="0" w:color="E9F0F8"/>
                <w:left w:val="none" w:sz="0" w:space="0" w:color="auto"/>
                <w:bottom w:val="none" w:sz="0" w:space="0" w:color="auto"/>
                <w:right w:val="none" w:sz="0" w:space="0" w:color="auto"/>
              </w:divBdr>
              <w:divsChild>
                <w:div w:id="819807467">
                  <w:marLeft w:val="0"/>
                  <w:marRight w:val="0"/>
                  <w:marTop w:val="0"/>
                  <w:marBottom w:val="0"/>
                  <w:divBdr>
                    <w:top w:val="none" w:sz="0" w:space="0" w:color="auto"/>
                    <w:left w:val="none" w:sz="0" w:space="0" w:color="auto"/>
                    <w:bottom w:val="none" w:sz="0" w:space="0" w:color="auto"/>
                    <w:right w:val="none" w:sz="0" w:space="0" w:color="auto"/>
                  </w:divBdr>
                </w:div>
                <w:div w:id="238946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TuLiem</dc:creator>
  <cp:lastModifiedBy>CNTT_BTL</cp:lastModifiedBy>
  <cp:revision>26</cp:revision>
  <cp:lastPrinted>2020-05-22T04:04:00Z</cp:lastPrinted>
  <dcterms:created xsi:type="dcterms:W3CDTF">2015-12-18T02:25:00Z</dcterms:created>
  <dcterms:modified xsi:type="dcterms:W3CDTF">2023-06-06T03:08:00Z</dcterms:modified>
</cp:coreProperties>
</file>